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65"/>
        <w:gridCol w:w="6951"/>
      </w:tblGrid>
      <w:tr w:rsidR="00E51869" w:rsidRPr="00625BF6" w14:paraId="6558B6ED" w14:textId="77777777" w:rsidTr="00625BF6">
        <w:trPr>
          <w:trHeight w:val="432"/>
        </w:trPr>
        <w:tc>
          <w:tcPr>
            <w:tcW w:w="9016" w:type="dxa"/>
            <w:gridSpan w:val="2"/>
            <w:vAlign w:val="center"/>
          </w:tcPr>
          <w:p w14:paraId="38CE81DC" w14:textId="6AD4A611" w:rsidR="00E51869" w:rsidRPr="00625BF6" w:rsidRDefault="00E51869" w:rsidP="00625BF6">
            <w:pPr>
              <w:pStyle w:val="ListParagraph"/>
              <w:ind w:left="0"/>
              <w:rPr>
                <w:rFonts w:cstheme="minorHAnsi"/>
                <w:b/>
                <w:bCs/>
              </w:rPr>
            </w:pPr>
            <w:bookmarkStart w:id="0" w:name="_GoBack"/>
            <w:bookmarkEnd w:id="0"/>
            <w:r w:rsidRPr="00625BF6">
              <w:rPr>
                <w:rFonts w:cstheme="minorHAnsi"/>
                <w:b/>
                <w:bCs/>
              </w:rPr>
              <w:t>22</w:t>
            </w:r>
            <w:r w:rsidRPr="00625BF6">
              <w:rPr>
                <w:rFonts w:cstheme="minorHAnsi"/>
                <w:b/>
                <w:bCs/>
                <w:vertAlign w:val="superscript"/>
              </w:rPr>
              <w:t>nd</w:t>
            </w:r>
            <w:r w:rsidRPr="00625BF6">
              <w:rPr>
                <w:rFonts w:cstheme="minorHAnsi"/>
                <w:b/>
                <w:bCs/>
              </w:rPr>
              <w:t xml:space="preserve"> NIH Scientific Conference </w:t>
            </w:r>
          </w:p>
        </w:tc>
      </w:tr>
      <w:tr w:rsidR="00E51869" w:rsidRPr="00625BF6" w14:paraId="2FA82383" w14:textId="77777777" w:rsidTr="00625BF6">
        <w:trPr>
          <w:trHeight w:val="432"/>
        </w:trPr>
        <w:tc>
          <w:tcPr>
            <w:tcW w:w="2065" w:type="dxa"/>
            <w:vAlign w:val="center"/>
          </w:tcPr>
          <w:p w14:paraId="176E926B" w14:textId="4B300D3E" w:rsidR="00E51869" w:rsidRPr="00625BF6" w:rsidRDefault="00E51869" w:rsidP="00625BF6">
            <w:pPr>
              <w:pStyle w:val="ListParagraph"/>
              <w:ind w:left="0"/>
              <w:rPr>
                <w:rFonts w:cstheme="minorHAnsi"/>
              </w:rPr>
            </w:pPr>
            <w:r w:rsidRPr="00625BF6">
              <w:rPr>
                <w:rFonts w:cstheme="minorHAnsi"/>
              </w:rPr>
              <w:t xml:space="preserve">Category </w:t>
            </w:r>
          </w:p>
        </w:tc>
        <w:tc>
          <w:tcPr>
            <w:tcW w:w="6951" w:type="dxa"/>
            <w:vAlign w:val="center"/>
          </w:tcPr>
          <w:p w14:paraId="07F3D111" w14:textId="6911DD0A" w:rsidR="00E51869" w:rsidRPr="00625BF6" w:rsidRDefault="00E51869" w:rsidP="00625BF6">
            <w:pPr>
              <w:pStyle w:val="ListParagraph"/>
              <w:ind w:left="0"/>
              <w:rPr>
                <w:rFonts w:cstheme="minorHAnsi"/>
              </w:rPr>
            </w:pPr>
            <w:r w:rsidRPr="00625BF6">
              <w:rPr>
                <w:rFonts w:cstheme="minorHAnsi"/>
              </w:rPr>
              <w:t xml:space="preserve">Public Health </w:t>
            </w:r>
          </w:p>
        </w:tc>
      </w:tr>
      <w:tr w:rsidR="00E51869" w:rsidRPr="00625BF6" w14:paraId="369F5A20" w14:textId="77777777" w:rsidTr="00625BF6">
        <w:trPr>
          <w:trHeight w:val="432"/>
        </w:trPr>
        <w:tc>
          <w:tcPr>
            <w:tcW w:w="2065" w:type="dxa"/>
            <w:vAlign w:val="center"/>
          </w:tcPr>
          <w:p w14:paraId="6067241E" w14:textId="38CFA0D6" w:rsidR="00E51869" w:rsidRPr="00625BF6" w:rsidRDefault="00E51869" w:rsidP="00625BF6">
            <w:pPr>
              <w:pStyle w:val="ListParagraph"/>
              <w:ind w:left="0"/>
              <w:rPr>
                <w:rFonts w:cstheme="minorHAnsi"/>
              </w:rPr>
            </w:pPr>
            <w:r w:rsidRPr="00625BF6">
              <w:rPr>
                <w:rFonts w:cstheme="minorHAnsi"/>
              </w:rPr>
              <w:t xml:space="preserve">Title </w:t>
            </w:r>
          </w:p>
        </w:tc>
        <w:tc>
          <w:tcPr>
            <w:tcW w:w="6951" w:type="dxa"/>
            <w:vAlign w:val="center"/>
          </w:tcPr>
          <w:p w14:paraId="6FE17055" w14:textId="276C337C" w:rsidR="00E51869" w:rsidRPr="00625BF6" w:rsidRDefault="00787386" w:rsidP="00625BF6">
            <w:pPr>
              <w:pStyle w:val="ListParagraph"/>
              <w:ind w:left="0"/>
              <w:rPr>
                <w:rFonts w:cstheme="minorHAnsi"/>
              </w:rPr>
            </w:pPr>
            <w:r>
              <w:rPr>
                <w:rFonts w:cstheme="minorHAnsi"/>
              </w:rPr>
              <w:t xml:space="preserve">Feasibility </w:t>
            </w:r>
            <w:r w:rsidR="00361B42">
              <w:rPr>
                <w:rFonts w:cstheme="minorHAnsi"/>
              </w:rPr>
              <w:t xml:space="preserve">and Acceptability </w:t>
            </w:r>
            <w:r>
              <w:rPr>
                <w:rFonts w:cstheme="minorHAnsi"/>
              </w:rPr>
              <w:t xml:space="preserve">of </w:t>
            </w:r>
            <w:r w:rsidR="004E28F1">
              <w:rPr>
                <w:rFonts w:cstheme="minorHAnsi"/>
              </w:rPr>
              <w:t>T</w:t>
            </w:r>
            <w:r w:rsidR="000D17B4" w:rsidRPr="00625BF6">
              <w:rPr>
                <w:rFonts w:cstheme="minorHAnsi"/>
              </w:rPr>
              <w:t xml:space="preserve">elephone-based </w:t>
            </w:r>
            <w:r w:rsidR="004E28F1">
              <w:rPr>
                <w:rFonts w:cstheme="minorHAnsi"/>
              </w:rPr>
              <w:t>R</w:t>
            </w:r>
            <w:r w:rsidR="00D4145F">
              <w:rPr>
                <w:rFonts w:cstheme="minorHAnsi"/>
              </w:rPr>
              <w:t xml:space="preserve">emote </w:t>
            </w:r>
            <w:r w:rsidR="004E28F1">
              <w:rPr>
                <w:rFonts w:cstheme="minorHAnsi"/>
              </w:rPr>
              <w:t>D</w:t>
            </w:r>
            <w:r w:rsidR="000D17B4" w:rsidRPr="00625BF6">
              <w:rPr>
                <w:rFonts w:cstheme="minorHAnsi"/>
              </w:rPr>
              <w:t xml:space="preserve">ata </w:t>
            </w:r>
            <w:r w:rsidR="0082647E" w:rsidRPr="00625BF6">
              <w:rPr>
                <w:rFonts w:cstheme="minorHAnsi"/>
              </w:rPr>
              <w:t>C</w:t>
            </w:r>
            <w:r w:rsidR="000D17B4" w:rsidRPr="00625BF6">
              <w:rPr>
                <w:rFonts w:cstheme="minorHAnsi"/>
              </w:rPr>
              <w:t xml:space="preserve">ollection </w:t>
            </w:r>
            <w:r w:rsidR="004E28F1">
              <w:rPr>
                <w:rFonts w:cstheme="minorHAnsi"/>
              </w:rPr>
              <w:t>A</w:t>
            </w:r>
            <w:r>
              <w:rPr>
                <w:rFonts w:cstheme="minorHAnsi"/>
              </w:rPr>
              <w:t xml:space="preserve">mong </w:t>
            </w:r>
            <w:r w:rsidR="0082647E" w:rsidRPr="00625BF6">
              <w:rPr>
                <w:rFonts w:cstheme="minorHAnsi"/>
              </w:rPr>
              <w:t>O</w:t>
            </w:r>
            <w:r w:rsidR="000D17B4" w:rsidRPr="00625BF6">
              <w:rPr>
                <w:rFonts w:cstheme="minorHAnsi"/>
              </w:rPr>
              <w:t xml:space="preserve">lder </w:t>
            </w:r>
            <w:r w:rsidR="0082647E" w:rsidRPr="00625BF6">
              <w:rPr>
                <w:rFonts w:cstheme="minorHAnsi"/>
              </w:rPr>
              <w:t>A</w:t>
            </w:r>
            <w:r w:rsidR="000D17B4" w:rsidRPr="00625BF6">
              <w:rPr>
                <w:rFonts w:cstheme="minorHAnsi"/>
              </w:rPr>
              <w:t xml:space="preserve">dults </w:t>
            </w:r>
            <w:r>
              <w:rPr>
                <w:rFonts w:cstheme="minorHAnsi"/>
              </w:rPr>
              <w:t xml:space="preserve">in </w:t>
            </w:r>
            <w:r w:rsidR="004E28F1">
              <w:rPr>
                <w:rFonts w:cstheme="minorHAnsi"/>
              </w:rPr>
              <w:t>R</w:t>
            </w:r>
            <w:r>
              <w:rPr>
                <w:rFonts w:cstheme="minorHAnsi"/>
              </w:rPr>
              <w:t xml:space="preserve">ural </w:t>
            </w:r>
            <w:r w:rsidR="004E28F1">
              <w:rPr>
                <w:rFonts w:cstheme="minorHAnsi"/>
              </w:rPr>
              <w:t>A</w:t>
            </w:r>
            <w:r>
              <w:rPr>
                <w:rFonts w:cstheme="minorHAnsi"/>
              </w:rPr>
              <w:t xml:space="preserve">reas </w:t>
            </w:r>
            <w:r w:rsidR="004E28F1">
              <w:rPr>
                <w:rFonts w:cstheme="minorHAnsi"/>
              </w:rPr>
              <w:t>D</w:t>
            </w:r>
            <w:r w:rsidR="000D17B4" w:rsidRPr="00625BF6">
              <w:rPr>
                <w:rFonts w:cstheme="minorHAnsi"/>
              </w:rPr>
              <w:t xml:space="preserve">uring the COVID-19 </w:t>
            </w:r>
            <w:r w:rsidR="0082647E" w:rsidRPr="00625BF6">
              <w:rPr>
                <w:rFonts w:cstheme="minorHAnsi"/>
              </w:rPr>
              <w:t>P</w:t>
            </w:r>
            <w:r w:rsidR="000D17B4" w:rsidRPr="00625BF6">
              <w:rPr>
                <w:rFonts w:cstheme="minorHAnsi"/>
              </w:rPr>
              <w:t>andemic: Results</w:t>
            </w:r>
            <w:r>
              <w:rPr>
                <w:rFonts w:cstheme="minorHAnsi"/>
              </w:rPr>
              <w:t xml:space="preserve"> </w:t>
            </w:r>
            <w:r w:rsidR="000D17B4" w:rsidRPr="00625BF6">
              <w:rPr>
                <w:rFonts w:cstheme="minorHAnsi"/>
              </w:rPr>
              <w:t xml:space="preserve">from </w:t>
            </w:r>
            <w:r w:rsidR="00E51869" w:rsidRPr="00625BF6">
              <w:rPr>
                <w:rFonts w:cstheme="minorHAnsi"/>
              </w:rPr>
              <w:t>DePEC-</w:t>
            </w:r>
            <w:r w:rsidR="000D17B4" w:rsidRPr="00625BF6">
              <w:rPr>
                <w:rFonts w:cstheme="minorHAnsi"/>
              </w:rPr>
              <w:t xml:space="preserve">Nutrition </w:t>
            </w:r>
            <w:r w:rsidR="0082647E" w:rsidRPr="00625BF6">
              <w:rPr>
                <w:rFonts w:cstheme="minorHAnsi"/>
              </w:rPr>
              <w:t>S</w:t>
            </w:r>
            <w:r w:rsidR="000D17B4" w:rsidRPr="00625BF6">
              <w:rPr>
                <w:rFonts w:cstheme="minorHAnsi"/>
              </w:rPr>
              <w:t>tudy</w:t>
            </w:r>
            <w:r>
              <w:rPr>
                <w:rFonts w:cstheme="minorHAnsi"/>
              </w:rPr>
              <w:t xml:space="preserve"> </w:t>
            </w:r>
          </w:p>
        </w:tc>
      </w:tr>
      <w:tr w:rsidR="00E51869" w:rsidRPr="00625BF6" w14:paraId="72F3557D" w14:textId="77777777" w:rsidTr="00625BF6">
        <w:trPr>
          <w:trHeight w:val="432"/>
        </w:trPr>
        <w:tc>
          <w:tcPr>
            <w:tcW w:w="2065" w:type="dxa"/>
            <w:vAlign w:val="center"/>
          </w:tcPr>
          <w:p w14:paraId="1A51512C" w14:textId="2DD82F00" w:rsidR="00E51869" w:rsidRPr="00625BF6" w:rsidRDefault="00E51869" w:rsidP="00625BF6">
            <w:pPr>
              <w:pStyle w:val="ListParagraph"/>
              <w:ind w:left="0"/>
              <w:rPr>
                <w:rFonts w:cstheme="minorHAnsi"/>
              </w:rPr>
            </w:pPr>
            <w:r w:rsidRPr="00625BF6">
              <w:rPr>
                <w:rFonts w:cstheme="minorHAnsi"/>
              </w:rPr>
              <w:t xml:space="preserve">NMRR ID </w:t>
            </w:r>
          </w:p>
        </w:tc>
        <w:tc>
          <w:tcPr>
            <w:tcW w:w="6951" w:type="dxa"/>
            <w:vAlign w:val="center"/>
          </w:tcPr>
          <w:p w14:paraId="3CA3CCC4" w14:textId="55FAD170" w:rsidR="00E51869" w:rsidRPr="00625BF6" w:rsidRDefault="00E51869" w:rsidP="00625BF6">
            <w:pPr>
              <w:pStyle w:val="ListParagraph"/>
              <w:ind w:left="0"/>
              <w:rPr>
                <w:rFonts w:cstheme="minorHAnsi"/>
              </w:rPr>
            </w:pPr>
            <w:r w:rsidRPr="00625BF6">
              <w:rPr>
                <w:rFonts w:cstheme="minorHAnsi"/>
              </w:rPr>
              <w:t>NMRR-19-617-45916</w:t>
            </w:r>
          </w:p>
        </w:tc>
      </w:tr>
      <w:tr w:rsidR="00B33460" w:rsidRPr="00625BF6" w14:paraId="5F395E1B" w14:textId="77777777" w:rsidTr="00625BF6">
        <w:trPr>
          <w:trHeight w:val="432"/>
        </w:trPr>
        <w:tc>
          <w:tcPr>
            <w:tcW w:w="2065" w:type="dxa"/>
            <w:vAlign w:val="center"/>
          </w:tcPr>
          <w:p w14:paraId="7C2397E3" w14:textId="1305FA1A" w:rsidR="00B33460" w:rsidRPr="00625BF6" w:rsidRDefault="00B33460" w:rsidP="00625BF6">
            <w:pPr>
              <w:pStyle w:val="ListParagraph"/>
              <w:ind w:left="0"/>
              <w:rPr>
                <w:rFonts w:cstheme="minorHAnsi"/>
              </w:rPr>
            </w:pPr>
            <w:r w:rsidRPr="00625BF6">
              <w:rPr>
                <w:rFonts w:cstheme="minorHAnsi"/>
              </w:rPr>
              <w:t xml:space="preserve">Authors </w:t>
            </w:r>
          </w:p>
        </w:tc>
        <w:tc>
          <w:tcPr>
            <w:tcW w:w="6951" w:type="dxa"/>
            <w:tcBorders>
              <w:top w:val="single" w:sz="4" w:space="0" w:color="auto"/>
              <w:left w:val="single" w:sz="4" w:space="0" w:color="auto"/>
              <w:bottom w:val="single" w:sz="4" w:space="0" w:color="auto"/>
              <w:right w:val="single" w:sz="4" w:space="0" w:color="auto"/>
            </w:tcBorders>
            <w:vAlign w:val="center"/>
          </w:tcPr>
          <w:p w14:paraId="7C86ECDA" w14:textId="4ED72E0F" w:rsidR="00B33460" w:rsidRPr="000158B6" w:rsidRDefault="00B33460" w:rsidP="00625BF6">
            <w:pPr>
              <w:pStyle w:val="ListParagraph"/>
              <w:ind w:left="0"/>
              <w:rPr>
                <w:rFonts w:cstheme="minorHAnsi"/>
                <w:vertAlign w:val="superscript"/>
              </w:rPr>
            </w:pPr>
            <w:r w:rsidRPr="00625BF6">
              <w:rPr>
                <w:rFonts w:eastAsia="Calibri" w:cstheme="minorHAnsi"/>
                <w:bCs/>
                <w:u w:val="single"/>
                <w:shd w:val="clear" w:color="auto" w:fill="FFFFFF"/>
                <w:lang w:val="en-GB" w:eastAsia="en-US"/>
              </w:rPr>
              <w:t>Siew Siew Lee</w:t>
            </w:r>
            <w:r w:rsidRPr="00625BF6">
              <w:rPr>
                <w:rFonts w:eastAsia="Calibri" w:cstheme="minorHAnsi"/>
                <w:bCs/>
                <w:shd w:val="clear" w:color="auto" w:fill="FFFFFF"/>
                <w:vertAlign w:val="superscript"/>
                <w:lang w:val="en-GB" w:eastAsia="en-US"/>
              </w:rPr>
              <w:t>1</w:t>
            </w:r>
            <w:r w:rsidRPr="00625BF6">
              <w:rPr>
                <w:rFonts w:eastAsia="Calibri" w:cstheme="minorHAnsi"/>
                <w:bCs/>
                <w:shd w:val="clear" w:color="auto" w:fill="FFFFFF"/>
                <w:lang w:val="en-GB" w:eastAsia="en-US"/>
              </w:rPr>
              <w:t>,</w:t>
            </w:r>
            <w:r w:rsidRPr="00625BF6">
              <w:rPr>
                <w:rFonts w:eastAsia="Calibri" w:cstheme="minorHAnsi"/>
                <w:lang w:val="en-GB" w:eastAsia="en-US"/>
              </w:rPr>
              <w:t xml:space="preserve"> </w:t>
            </w:r>
            <w:r w:rsidRPr="00625BF6">
              <w:rPr>
                <w:rFonts w:eastAsia="Calibri" w:cstheme="minorHAnsi"/>
                <w:bCs/>
                <w:shd w:val="clear" w:color="auto" w:fill="FFFFFF"/>
                <w:lang w:val="en-GB" w:eastAsia="en-US"/>
              </w:rPr>
              <w:t>Devi Mohan</w:t>
            </w:r>
            <w:r w:rsidRPr="00625BF6">
              <w:rPr>
                <w:rFonts w:eastAsia="Calibri" w:cstheme="minorHAnsi"/>
                <w:bCs/>
                <w:shd w:val="clear" w:color="auto" w:fill="FFFFFF"/>
                <w:vertAlign w:val="superscript"/>
                <w:lang w:val="en-GB" w:eastAsia="en-US"/>
              </w:rPr>
              <w:t>1</w:t>
            </w:r>
            <w:r w:rsidRPr="00625BF6">
              <w:rPr>
                <w:rFonts w:eastAsia="Calibri" w:cstheme="minorHAnsi"/>
                <w:vertAlign w:val="superscript"/>
                <w:lang w:val="en-GB" w:eastAsia="en-US"/>
              </w:rPr>
              <w:t>*</w:t>
            </w:r>
            <w:r w:rsidRPr="00625BF6">
              <w:rPr>
                <w:rFonts w:eastAsia="Calibri" w:cstheme="minorHAnsi"/>
                <w:lang w:val="en-GB" w:eastAsia="en-US"/>
              </w:rPr>
              <w:t xml:space="preserve">, Yee Chang </w:t>
            </w:r>
            <w:r w:rsidRPr="00625BF6">
              <w:rPr>
                <w:rFonts w:eastAsia="Calibri" w:cstheme="minorHAnsi"/>
                <w:bCs/>
                <w:shd w:val="clear" w:color="auto" w:fill="FFFFFF"/>
                <w:lang w:val="en-GB" w:eastAsia="en-US"/>
              </w:rPr>
              <w:t>Soh</w:t>
            </w:r>
            <w:r w:rsidRPr="00625BF6">
              <w:rPr>
                <w:rFonts w:eastAsia="Calibri" w:cstheme="minorHAnsi"/>
                <w:bCs/>
                <w:shd w:val="clear" w:color="auto" w:fill="FFFFFF"/>
                <w:vertAlign w:val="superscript"/>
                <w:lang w:val="en-GB" w:eastAsia="en-US"/>
              </w:rPr>
              <w:t>1,2</w:t>
            </w:r>
            <w:r w:rsidRPr="00625BF6">
              <w:rPr>
                <w:rFonts w:eastAsia="Calibri" w:cstheme="minorHAnsi"/>
                <w:bCs/>
                <w:shd w:val="clear" w:color="auto" w:fill="FFFFFF"/>
                <w:lang w:val="en-GB" w:eastAsia="en-US"/>
              </w:rPr>
              <w:t>,</w:t>
            </w:r>
            <w:r w:rsidRPr="00625BF6">
              <w:rPr>
                <w:rFonts w:eastAsia="Calibri" w:cstheme="minorHAnsi"/>
                <w:lang w:val="en-GB" w:eastAsia="en-US"/>
              </w:rPr>
              <w:t xml:space="preserve"> </w:t>
            </w:r>
            <w:r w:rsidR="000158B6">
              <w:rPr>
                <w:rFonts w:eastAsia="Calibri" w:cstheme="minorHAnsi"/>
                <w:lang w:val="en-GB" w:eastAsia="en-US"/>
              </w:rPr>
              <w:t>Mawada Alawad</w:t>
            </w:r>
            <w:r w:rsidR="000158B6" w:rsidRPr="00625BF6">
              <w:rPr>
                <w:rFonts w:eastAsia="Calibri" w:cstheme="minorHAnsi"/>
                <w:bCs/>
                <w:shd w:val="clear" w:color="auto" w:fill="FFFFFF"/>
                <w:vertAlign w:val="superscript"/>
                <w:lang w:val="en-GB" w:eastAsia="en-US"/>
              </w:rPr>
              <w:t>1,2</w:t>
            </w:r>
            <w:r w:rsidR="000158B6">
              <w:rPr>
                <w:rFonts w:eastAsia="Calibri" w:cstheme="minorHAnsi"/>
                <w:lang w:val="en-GB" w:eastAsia="en-US"/>
              </w:rPr>
              <w:t xml:space="preserve">, </w:t>
            </w:r>
            <w:r w:rsidRPr="00625BF6">
              <w:rPr>
                <w:rFonts w:eastAsia="Calibri" w:cstheme="minorHAnsi"/>
                <w:bCs/>
                <w:shd w:val="clear" w:color="auto" w:fill="FFFFFF"/>
                <w:lang w:val="en-GB" w:eastAsia="en-US"/>
              </w:rPr>
              <w:t>Andrea McGrattan</w:t>
            </w:r>
            <w:r w:rsidRPr="00625BF6">
              <w:rPr>
                <w:rFonts w:eastAsia="Calibri" w:cstheme="minorHAnsi"/>
                <w:bCs/>
                <w:shd w:val="clear" w:color="auto" w:fill="FFFFFF"/>
                <w:vertAlign w:val="superscript"/>
                <w:lang w:val="en-GB" w:eastAsia="en-US"/>
              </w:rPr>
              <w:t>3</w:t>
            </w:r>
            <w:r w:rsidRPr="00625BF6">
              <w:rPr>
                <w:rFonts w:eastAsia="Calibri" w:cstheme="minorHAnsi"/>
                <w:bCs/>
                <w:shd w:val="clear" w:color="auto" w:fill="FFFFFF"/>
                <w:lang w:val="en-GB" w:eastAsia="en-US"/>
              </w:rPr>
              <w:t>, Tin Tin Su</w:t>
            </w:r>
            <w:r w:rsidRPr="00625BF6">
              <w:rPr>
                <w:rFonts w:eastAsia="Calibri" w:cstheme="minorHAnsi"/>
                <w:bCs/>
                <w:shd w:val="clear" w:color="auto" w:fill="FFFFFF"/>
                <w:vertAlign w:val="superscript"/>
                <w:lang w:val="en-GB" w:eastAsia="en-US"/>
              </w:rPr>
              <w:t>1,2</w:t>
            </w:r>
            <w:r w:rsidRPr="00625BF6">
              <w:rPr>
                <w:rFonts w:eastAsia="Calibri" w:cstheme="minorHAnsi"/>
                <w:bCs/>
                <w:shd w:val="clear" w:color="auto" w:fill="FFFFFF"/>
                <w:lang w:val="en-GB" w:eastAsia="en-US"/>
              </w:rPr>
              <w:t>,</w:t>
            </w:r>
            <w:r w:rsidRPr="00625BF6">
              <w:rPr>
                <w:rFonts w:eastAsia="Calibri" w:cstheme="minorHAnsi"/>
                <w:bCs/>
                <w:shd w:val="clear" w:color="auto" w:fill="FFFFFF"/>
                <w:vertAlign w:val="superscript"/>
                <w:lang w:val="en-GB" w:eastAsia="en-US"/>
              </w:rPr>
              <w:t xml:space="preserve"> </w:t>
            </w:r>
            <w:r w:rsidRPr="00625BF6">
              <w:rPr>
                <w:rFonts w:eastAsia="Calibri" w:cstheme="minorHAnsi"/>
                <w:bCs/>
                <w:shd w:val="clear" w:color="auto" w:fill="FFFFFF"/>
                <w:lang w:val="en-GB" w:eastAsia="en-US"/>
              </w:rPr>
              <w:t>Daniel Reidpath</w:t>
            </w:r>
            <w:r w:rsidRPr="00625BF6">
              <w:rPr>
                <w:rFonts w:eastAsia="Calibri" w:cstheme="minorHAnsi"/>
                <w:bCs/>
                <w:shd w:val="clear" w:color="auto" w:fill="FFFFFF"/>
                <w:vertAlign w:val="superscript"/>
                <w:lang w:val="en-GB" w:eastAsia="en-US"/>
              </w:rPr>
              <w:t>1,</w:t>
            </w:r>
            <w:r w:rsidR="000158B6">
              <w:rPr>
                <w:rFonts w:eastAsia="Calibri" w:cstheme="minorHAnsi"/>
                <w:bCs/>
                <w:shd w:val="clear" w:color="auto" w:fill="FFFFFF"/>
                <w:vertAlign w:val="superscript"/>
                <w:lang w:val="en-GB" w:eastAsia="en-US"/>
              </w:rPr>
              <w:t>4</w:t>
            </w:r>
            <w:r w:rsidRPr="00625BF6">
              <w:rPr>
                <w:rFonts w:eastAsia="Calibri" w:cstheme="minorHAnsi"/>
                <w:bCs/>
                <w:shd w:val="clear" w:color="auto" w:fill="FFFFFF"/>
                <w:lang w:val="en-GB" w:eastAsia="en-US"/>
              </w:rPr>
              <w:t>, Louise Robinson</w:t>
            </w:r>
            <w:r w:rsidR="000158B6">
              <w:rPr>
                <w:rFonts w:eastAsia="Calibri" w:cstheme="minorHAnsi"/>
                <w:bCs/>
                <w:shd w:val="clear" w:color="auto" w:fill="FFFFFF"/>
                <w:vertAlign w:val="superscript"/>
                <w:lang w:val="en-GB" w:eastAsia="en-US"/>
              </w:rPr>
              <w:t>5</w:t>
            </w:r>
            <w:r w:rsidRPr="00625BF6">
              <w:rPr>
                <w:rFonts w:eastAsia="Calibri" w:cstheme="minorHAnsi"/>
                <w:bCs/>
                <w:shd w:val="clear" w:color="auto" w:fill="FFFFFF"/>
                <w:lang w:val="en-GB" w:eastAsia="en-US"/>
              </w:rPr>
              <w:t>, Mario Siervo</w:t>
            </w:r>
            <w:r w:rsidR="000158B6">
              <w:rPr>
                <w:rFonts w:eastAsia="Calibri" w:cstheme="minorHAnsi"/>
                <w:bCs/>
                <w:shd w:val="clear" w:color="auto" w:fill="FFFFFF"/>
                <w:vertAlign w:val="superscript"/>
                <w:lang w:val="en-GB" w:eastAsia="en-US"/>
              </w:rPr>
              <w:t>6</w:t>
            </w:r>
          </w:p>
        </w:tc>
      </w:tr>
      <w:tr w:rsidR="00B33460" w:rsidRPr="00625BF6" w14:paraId="61758157" w14:textId="77777777" w:rsidTr="00625BF6">
        <w:trPr>
          <w:trHeight w:val="432"/>
        </w:trPr>
        <w:tc>
          <w:tcPr>
            <w:tcW w:w="2065" w:type="dxa"/>
            <w:vAlign w:val="center"/>
          </w:tcPr>
          <w:p w14:paraId="36DC15D7" w14:textId="0C99BC3D" w:rsidR="00B33460" w:rsidRPr="00625BF6" w:rsidRDefault="00B33460" w:rsidP="00625BF6">
            <w:pPr>
              <w:pStyle w:val="ListParagraph"/>
              <w:ind w:left="0"/>
              <w:rPr>
                <w:rFonts w:cstheme="minorHAnsi"/>
              </w:rPr>
            </w:pPr>
            <w:r w:rsidRPr="00625BF6">
              <w:rPr>
                <w:rFonts w:cstheme="minorHAnsi"/>
              </w:rPr>
              <w:t xml:space="preserve">Affiliations </w:t>
            </w:r>
          </w:p>
        </w:tc>
        <w:tc>
          <w:tcPr>
            <w:tcW w:w="6951" w:type="dxa"/>
            <w:tcBorders>
              <w:top w:val="single" w:sz="4" w:space="0" w:color="auto"/>
              <w:left w:val="single" w:sz="4" w:space="0" w:color="auto"/>
              <w:bottom w:val="single" w:sz="4" w:space="0" w:color="auto"/>
              <w:right w:val="single" w:sz="4" w:space="0" w:color="auto"/>
            </w:tcBorders>
            <w:vAlign w:val="center"/>
          </w:tcPr>
          <w:p w14:paraId="61CC4A5C" w14:textId="5083E255" w:rsidR="00B33460" w:rsidRPr="00625BF6" w:rsidRDefault="00B33460" w:rsidP="00625BF6">
            <w:pPr>
              <w:numPr>
                <w:ilvl w:val="0"/>
                <w:numId w:val="1"/>
              </w:numPr>
              <w:ind w:left="360"/>
              <w:contextualSpacing/>
              <w:rPr>
                <w:rFonts w:eastAsia="Calibri" w:cstheme="minorHAnsi"/>
                <w:bCs/>
                <w:shd w:val="clear" w:color="auto" w:fill="FFFFFF"/>
                <w:lang w:val="en-GB" w:eastAsia="en-US"/>
              </w:rPr>
            </w:pPr>
            <w:r w:rsidRPr="00625BF6">
              <w:rPr>
                <w:rFonts w:eastAsia="Calibri" w:cstheme="minorHAnsi"/>
                <w:bCs/>
                <w:shd w:val="clear" w:color="auto" w:fill="FFFFFF"/>
                <w:lang w:val="en-GB" w:eastAsia="en-US"/>
              </w:rPr>
              <w:t>Global Public Health, Jeffrey Cheah School of Medicine and Health Sciences, Monash University</w:t>
            </w:r>
            <w:r w:rsidR="000158B6">
              <w:rPr>
                <w:rFonts w:eastAsia="Calibri" w:cstheme="minorHAnsi"/>
                <w:bCs/>
                <w:shd w:val="clear" w:color="auto" w:fill="FFFFFF"/>
                <w:lang w:val="en-GB" w:eastAsia="en-US"/>
              </w:rPr>
              <w:t xml:space="preserve"> Malaysia</w:t>
            </w:r>
            <w:r w:rsidRPr="00625BF6">
              <w:rPr>
                <w:rFonts w:eastAsia="Calibri" w:cstheme="minorHAnsi"/>
                <w:bCs/>
                <w:shd w:val="clear" w:color="auto" w:fill="FFFFFF"/>
                <w:lang w:val="en-GB" w:eastAsia="en-US"/>
              </w:rPr>
              <w:t>, Malaysia</w:t>
            </w:r>
          </w:p>
          <w:p w14:paraId="754D8B7A" w14:textId="0941A380" w:rsidR="00B33460" w:rsidRPr="00625BF6" w:rsidRDefault="00B33460" w:rsidP="00625BF6">
            <w:pPr>
              <w:numPr>
                <w:ilvl w:val="0"/>
                <w:numId w:val="1"/>
              </w:numPr>
              <w:ind w:left="360"/>
              <w:contextualSpacing/>
              <w:rPr>
                <w:rFonts w:eastAsia="Calibri" w:cstheme="minorHAnsi"/>
                <w:bCs/>
                <w:shd w:val="clear" w:color="auto" w:fill="FFFFFF"/>
                <w:lang w:val="en-GB" w:eastAsia="en-US"/>
              </w:rPr>
            </w:pPr>
            <w:r w:rsidRPr="00625BF6">
              <w:rPr>
                <w:rFonts w:eastAsia="Calibri" w:cstheme="minorHAnsi"/>
                <w:bCs/>
                <w:shd w:val="clear" w:color="auto" w:fill="FFFFFF"/>
                <w:lang w:val="en-GB" w:eastAsia="en-US"/>
              </w:rPr>
              <w:t xml:space="preserve">South East Asia Community Observatory, </w:t>
            </w:r>
            <w:r w:rsidR="00E62449">
              <w:rPr>
                <w:rFonts w:eastAsia="Calibri" w:cstheme="minorHAnsi"/>
                <w:bCs/>
                <w:shd w:val="clear" w:color="auto" w:fill="FFFFFF"/>
                <w:lang w:val="en-GB" w:eastAsia="en-US"/>
              </w:rPr>
              <w:t>Jef</w:t>
            </w:r>
            <w:r w:rsidR="000158B6">
              <w:rPr>
                <w:rFonts w:eastAsia="Calibri" w:cstheme="minorHAnsi"/>
                <w:bCs/>
                <w:shd w:val="clear" w:color="auto" w:fill="FFFFFF"/>
                <w:lang w:val="en-GB" w:eastAsia="en-US"/>
              </w:rPr>
              <w:t xml:space="preserve">frey Cheah School of Medicine and Health Sciences, </w:t>
            </w:r>
            <w:r w:rsidRPr="00625BF6">
              <w:rPr>
                <w:rFonts w:eastAsia="Calibri" w:cstheme="minorHAnsi"/>
                <w:bCs/>
                <w:shd w:val="clear" w:color="auto" w:fill="FFFFFF"/>
                <w:lang w:val="en-GB" w:eastAsia="en-US"/>
              </w:rPr>
              <w:t>Monash University</w:t>
            </w:r>
            <w:r w:rsidR="000158B6">
              <w:rPr>
                <w:rFonts w:eastAsia="Calibri" w:cstheme="minorHAnsi"/>
                <w:bCs/>
                <w:shd w:val="clear" w:color="auto" w:fill="FFFFFF"/>
                <w:lang w:val="en-GB" w:eastAsia="en-US"/>
              </w:rPr>
              <w:t xml:space="preserve"> Malaysia, Malaysia</w:t>
            </w:r>
          </w:p>
          <w:p w14:paraId="3AECC247" w14:textId="447B0DFF" w:rsidR="00B33460" w:rsidRPr="00625BF6" w:rsidRDefault="00B33460" w:rsidP="00625BF6">
            <w:pPr>
              <w:numPr>
                <w:ilvl w:val="0"/>
                <w:numId w:val="1"/>
              </w:numPr>
              <w:ind w:left="360"/>
              <w:contextualSpacing/>
              <w:rPr>
                <w:rFonts w:eastAsia="Calibri" w:cstheme="minorHAnsi"/>
                <w:bCs/>
                <w:shd w:val="clear" w:color="auto" w:fill="FFFFFF"/>
                <w:lang w:val="en-GB" w:eastAsia="en-US"/>
              </w:rPr>
            </w:pPr>
            <w:r w:rsidRPr="00625BF6">
              <w:rPr>
                <w:rFonts w:eastAsia="Calibri" w:cstheme="minorHAnsi"/>
                <w:bCs/>
                <w:shd w:val="clear" w:color="auto" w:fill="FFFFFF"/>
                <w:lang w:val="en-GB" w:eastAsia="en-US"/>
              </w:rPr>
              <w:t xml:space="preserve">School of </w:t>
            </w:r>
            <w:r w:rsidR="000158B6">
              <w:rPr>
                <w:rFonts w:eastAsia="Calibri" w:cstheme="minorHAnsi"/>
                <w:bCs/>
                <w:shd w:val="clear" w:color="auto" w:fill="FFFFFF"/>
                <w:lang w:val="en-GB" w:eastAsia="en-US"/>
              </w:rPr>
              <w:t>Biomedical,</w:t>
            </w:r>
            <w:r w:rsidRPr="00625BF6">
              <w:rPr>
                <w:rFonts w:eastAsia="Calibri" w:cstheme="minorHAnsi"/>
                <w:bCs/>
                <w:shd w:val="clear" w:color="auto" w:fill="FFFFFF"/>
                <w:lang w:val="en-GB" w:eastAsia="en-US"/>
              </w:rPr>
              <w:t xml:space="preserve"> Nutritional and Sports Sciences, Newcastle University, UK</w:t>
            </w:r>
          </w:p>
          <w:p w14:paraId="3CC70E9C" w14:textId="260BEFDC" w:rsidR="00B33460" w:rsidRPr="00625BF6" w:rsidRDefault="00B33460" w:rsidP="00625BF6">
            <w:pPr>
              <w:numPr>
                <w:ilvl w:val="0"/>
                <w:numId w:val="1"/>
              </w:numPr>
              <w:autoSpaceDE w:val="0"/>
              <w:autoSpaceDN w:val="0"/>
              <w:adjustRightInd w:val="0"/>
              <w:ind w:left="360"/>
              <w:contextualSpacing/>
              <w:rPr>
                <w:rFonts w:eastAsia="Calibri" w:cstheme="minorHAnsi"/>
                <w:bCs/>
                <w:lang w:val="en-GB" w:eastAsia="en-US"/>
              </w:rPr>
            </w:pPr>
            <w:r w:rsidRPr="00625BF6">
              <w:rPr>
                <w:rFonts w:eastAsia="Calibri" w:cstheme="minorHAnsi"/>
                <w:bCs/>
                <w:lang w:val="en-GB" w:eastAsia="en-US"/>
              </w:rPr>
              <w:t>International Centre for Diarrhoeal Disease Research, ICDDR, B</w:t>
            </w:r>
            <w:r w:rsidR="0061399A">
              <w:rPr>
                <w:rFonts w:eastAsia="Calibri" w:cstheme="minorHAnsi"/>
                <w:bCs/>
                <w:lang w:val="en-GB" w:eastAsia="en-US"/>
              </w:rPr>
              <w:t xml:space="preserve">, Bangladesh </w:t>
            </w:r>
          </w:p>
          <w:p w14:paraId="3B884CEA" w14:textId="33D4660C" w:rsidR="00B33460" w:rsidRPr="00625BF6" w:rsidRDefault="00B33460" w:rsidP="00625BF6">
            <w:pPr>
              <w:numPr>
                <w:ilvl w:val="0"/>
                <w:numId w:val="1"/>
              </w:numPr>
              <w:autoSpaceDE w:val="0"/>
              <w:autoSpaceDN w:val="0"/>
              <w:adjustRightInd w:val="0"/>
              <w:ind w:left="360"/>
              <w:contextualSpacing/>
              <w:rPr>
                <w:rFonts w:eastAsia="Calibri" w:cstheme="minorHAnsi"/>
                <w:bCs/>
                <w:lang w:val="en-GB" w:eastAsia="en-US"/>
              </w:rPr>
            </w:pPr>
            <w:r w:rsidRPr="00625BF6">
              <w:rPr>
                <w:rFonts w:eastAsia="Calibri" w:cstheme="minorHAnsi"/>
                <w:bCs/>
                <w:lang w:val="en-GB" w:eastAsia="en-US"/>
              </w:rPr>
              <w:t>Population Health Sciences Institute, Newcastle University, UK</w:t>
            </w:r>
          </w:p>
          <w:p w14:paraId="76FB8977" w14:textId="7EB14870" w:rsidR="00B33460" w:rsidRPr="00625BF6" w:rsidRDefault="00B33460" w:rsidP="00625BF6">
            <w:pPr>
              <w:numPr>
                <w:ilvl w:val="0"/>
                <w:numId w:val="1"/>
              </w:numPr>
              <w:autoSpaceDE w:val="0"/>
              <w:autoSpaceDN w:val="0"/>
              <w:adjustRightInd w:val="0"/>
              <w:ind w:left="360"/>
              <w:contextualSpacing/>
              <w:rPr>
                <w:rFonts w:eastAsia="Calibri" w:cstheme="minorHAnsi"/>
                <w:bCs/>
                <w:color w:val="000000" w:themeColor="text1"/>
                <w:lang w:val="en-GB" w:eastAsia="en-US"/>
              </w:rPr>
            </w:pPr>
            <w:r w:rsidRPr="00625BF6">
              <w:rPr>
                <w:rFonts w:eastAsia="Calibri" w:cstheme="minorHAnsi"/>
                <w:bCs/>
                <w:lang w:val="en-GB" w:eastAsia="en-US"/>
              </w:rPr>
              <w:t xml:space="preserve">School of Life Sciences, </w:t>
            </w:r>
            <w:r w:rsidR="0061399A">
              <w:rPr>
                <w:rFonts w:eastAsia="Calibri" w:cstheme="minorHAnsi"/>
                <w:bCs/>
                <w:lang w:val="en-GB" w:eastAsia="en-US"/>
              </w:rPr>
              <w:t xml:space="preserve">The </w:t>
            </w:r>
            <w:r w:rsidRPr="00625BF6">
              <w:rPr>
                <w:rFonts w:eastAsia="Calibri" w:cstheme="minorHAnsi"/>
                <w:bCs/>
                <w:lang w:val="en-GB" w:eastAsia="en-US"/>
              </w:rPr>
              <w:t>University of Nottingham Medical School, UK</w:t>
            </w:r>
          </w:p>
          <w:p w14:paraId="343E9F64" w14:textId="2AD59FFB" w:rsidR="00B33460" w:rsidRPr="00625BF6" w:rsidRDefault="00B33460" w:rsidP="00625BF6">
            <w:pPr>
              <w:pStyle w:val="ListParagraph"/>
              <w:ind w:left="0"/>
              <w:rPr>
                <w:rFonts w:cstheme="minorHAnsi"/>
              </w:rPr>
            </w:pPr>
            <w:r w:rsidRPr="00625BF6">
              <w:rPr>
                <w:rFonts w:eastAsia="Calibri" w:cstheme="minorHAnsi"/>
                <w:bCs/>
                <w:color w:val="000000" w:themeColor="text1"/>
                <w:lang w:val="en-GB" w:eastAsia="en-US"/>
              </w:rPr>
              <w:t>*Corresponding author</w:t>
            </w:r>
          </w:p>
        </w:tc>
      </w:tr>
      <w:tr w:rsidR="00E51869" w:rsidRPr="00625BF6" w14:paraId="46C83109" w14:textId="77777777" w:rsidTr="00625BF6">
        <w:trPr>
          <w:trHeight w:val="432"/>
        </w:trPr>
        <w:tc>
          <w:tcPr>
            <w:tcW w:w="2065" w:type="dxa"/>
            <w:vAlign w:val="center"/>
          </w:tcPr>
          <w:p w14:paraId="73EFC16A" w14:textId="21B3ED85" w:rsidR="00E51869" w:rsidRPr="00625BF6" w:rsidRDefault="00E51869" w:rsidP="00625BF6">
            <w:pPr>
              <w:pStyle w:val="ListParagraph"/>
              <w:ind w:left="0"/>
              <w:rPr>
                <w:rFonts w:cstheme="minorHAnsi"/>
              </w:rPr>
            </w:pPr>
            <w:r w:rsidRPr="00625BF6">
              <w:rPr>
                <w:rFonts w:cstheme="minorHAnsi"/>
              </w:rPr>
              <w:t xml:space="preserve">Keyword/MESH term </w:t>
            </w:r>
          </w:p>
        </w:tc>
        <w:tc>
          <w:tcPr>
            <w:tcW w:w="6951" w:type="dxa"/>
            <w:vAlign w:val="center"/>
          </w:tcPr>
          <w:p w14:paraId="4FDC0567" w14:textId="79772DB6" w:rsidR="00E51869" w:rsidRPr="00625BF6" w:rsidRDefault="00E51869" w:rsidP="00625BF6">
            <w:pPr>
              <w:pStyle w:val="ListParagraph"/>
              <w:ind w:left="0"/>
              <w:rPr>
                <w:rFonts w:cstheme="minorHAnsi"/>
              </w:rPr>
            </w:pPr>
            <w:r w:rsidRPr="00625BF6">
              <w:rPr>
                <w:rFonts w:cstheme="minorHAnsi"/>
              </w:rPr>
              <w:t>Feasibility</w:t>
            </w:r>
            <w:r w:rsidR="000D17B4" w:rsidRPr="00625BF6">
              <w:rPr>
                <w:rFonts w:cstheme="minorHAnsi"/>
              </w:rPr>
              <w:t>;</w:t>
            </w:r>
            <w:r w:rsidRPr="00625BF6">
              <w:rPr>
                <w:rFonts w:cstheme="minorHAnsi"/>
              </w:rPr>
              <w:t xml:space="preserve"> </w:t>
            </w:r>
            <w:r w:rsidR="000D17B4" w:rsidRPr="00625BF6">
              <w:rPr>
                <w:rFonts w:cstheme="minorHAnsi"/>
              </w:rPr>
              <w:t xml:space="preserve">telephone; older adults; </w:t>
            </w:r>
            <w:r w:rsidR="00B33460" w:rsidRPr="00625BF6">
              <w:rPr>
                <w:rFonts w:cstheme="minorHAnsi"/>
              </w:rPr>
              <w:t xml:space="preserve">acceptability; </w:t>
            </w:r>
            <w:r w:rsidR="000D17B4" w:rsidRPr="00625BF6">
              <w:rPr>
                <w:rFonts w:cstheme="minorHAnsi"/>
              </w:rPr>
              <w:t>eHealth</w:t>
            </w:r>
          </w:p>
        </w:tc>
      </w:tr>
    </w:tbl>
    <w:p w14:paraId="2EA32CE4" w14:textId="77777777" w:rsidR="00B33460" w:rsidRDefault="00B33460"/>
    <w:tbl>
      <w:tblPr>
        <w:tblStyle w:val="TableGrid"/>
        <w:tblW w:w="0" w:type="auto"/>
        <w:tblLook w:val="04A0" w:firstRow="1" w:lastRow="0" w:firstColumn="1" w:lastColumn="0" w:noHBand="0" w:noVBand="1"/>
      </w:tblPr>
      <w:tblGrid>
        <w:gridCol w:w="2065"/>
        <w:gridCol w:w="6951"/>
      </w:tblGrid>
      <w:tr w:rsidR="00E51869" w:rsidRPr="00B33460" w14:paraId="339E8C88" w14:textId="77777777" w:rsidTr="00625BF6">
        <w:tc>
          <w:tcPr>
            <w:tcW w:w="2065" w:type="dxa"/>
          </w:tcPr>
          <w:p w14:paraId="090E0056" w14:textId="01F7124B" w:rsidR="00E51869" w:rsidRPr="00B33460" w:rsidRDefault="00E51869" w:rsidP="00304B8C">
            <w:pPr>
              <w:pStyle w:val="ListParagraph"/>
              <w:ind w:left="0"/>
              <w:jc w:val="both"/>
              <w:rPr>
                <w:rFonts w:cstheme="minorHAnsi"/>
              </w:rPr>
            </w:pPr>
            <w:r w:rsidRPr="00B33460">
              <w:rPr>
                <w:rFonts w:cstheme="minorHAnsi"/>
              </w:rPr>
              <w:t xml:space="preserve">Abstract </w:t>
            </w:r>
          </w:p>
        </w:tc>
        <w:tc>
          <w:tcPr>
            <w:tcW w:w="6951" w:type="dxa"/>
          </w:tcPr>
          <w:p w14:paraId="62D0874F" w14:textId="77777777" w:rsidR="00E51869" w:rsidRPr="00B33460" w:rsidRDefault="00E51869" w:rsidP="00E51869">
            <w:pPr>
              <w:pStyle w:val="ListParagraph"/>
              <w:ind w:left="0"/>
              <w:jc w:val="both"/>
              <w:rPr>
                <w:rFonts w:cstheme="minorHAnsi"/>
                <w:b/>
                <w:bCs/>
              </w:rPr>
            </w:pPr>
            <w:r w:rsidRPr="00B33460">
              <w:rPr>
                <w:rFonts w:cstheme="minorHAnsi"/>
                <w:b/>
                <w:bCs/>
              </w:rPr>
              <w:t xml:space="preserve">INTRODUCTION: </w:t>
            </w:r>
          </w:p>
          <w:p w14:paraId="74E3CF9E" w14:textId="669C94F8" w:rsidR="00E51869" w:rsidRPr="00B33460" w:rsidRDefault="00E51869" w:rsidP="00E51869">
            <w:pPr>
              <w:pStyle w:val="ListParagraph"/>
              <w:ind w:left="0"/>
              <w:jc w:val="both"/>
              <w:rPr>
                <w:rFonts w:cstheme="minorHAnsi"/>
              </w:rPr>
            </w:pPr>
            <w:r w:rsidRPr="00B33460">
              <w:rPr>
                <w:rFonts w:cstheme="minorHAnsi"/>
              </w:rPr>
              <w:t xml:space="preserve">The COVID-19 pandemic and </w:t>
            </w:r>
            <w:r w:rsidR="00D4145F">
              <w:rPr>
                <w:rFonts w:cstheme="minorHAnsi"/>
              </w:rPr>
              <w:t>its</w:t>
            </w:r>
            <w:r w:rsidR="00787386" w:rsidRPr="00B33460">
              <w:rPr>
                <w:rFonts w:cstheme="minorHAnsi"/>
              </w:rPr>
              <w:t xml:space="preserve"> </w:t>
            </w:r>
            <w:r w:rsidRPr="00B33460">
              <w:rPr>
                <w:rFonts w:cstheme="minorHAnsi"/>
              </w:rPr>
              <w:t xml:space="preserve">control measures have greatly affected in-person data collection </w:t>
            </w:r>
            <w:r w:rsidR="00D4145F">
              <w:rPr>
                <w:rFonts w:cstheme="minorHAnsi"/>
              </w:rPr>
              <w:t>of</w:t>
            </w:r>
            <w:r w:rsidRPr="00B33460">
              <w:rPr>
                <w:rFonts w:cstheme="minorHAnsi"/>
              </w:rPr>
              <w:t xml:space="preserve"> research</w:t>
            </w:r>
            <w:r w:rsidR="00D4145F">
              <w:rPr>
                <w:rFonts w:cstheme="minorHAnsi"/>
              </w:rPr>
              <w:t xml:space="preserve"> projects.</w:t>
            </w:r>
            <w:r w:rsidRPr="00B33460">
              <w:rPr>
                <w:rFonts w:cstheme="minorHAnsi"/>
              </w:rPr>
              <w:t xml:space="preserve"> One possible solution</w:t>
            </w:r>
            <w:r w:rsidR="00D4145F">
              <w:rPr>
                <w:rFonts w:cstheme="minorHAnsi"/>
              </w:rPr>
              <w:t xml:space="preserve"> to overcome this challenge </w:t>
            </w:r>
            <w:r w:rsidRPr="00B33460">
              <w:rPr>
                <w:rFonts w:cstheme="minorHAnsi"/>
              </w:rPr>
              <w:t>is to adapt remote data collection</w:t>
            </w:r>
            <w:r w:rsidR="00D4145F">
              <w:rPr>
                <w:rFonts w:cstheme="minorHAnsi"/>
              </w:rPr>
              <w:t xml:space="preserve"> methods</w:t>
            </w:r>
            <w:r w:rsidRPr="00B33460">
              <w:rPr>
                <w:rFonts w:cstheme="minorHAnsi"/>
              </w:rPr>
              <w:t xml:space="preserve"> via telephone or other digital platforms. However, it is not known whether a remote data collection is feasible and acceptable </w:t>
            </w:r>
            <w:r w:rsidR="00DC7D4E">
              <w:rPr>
                <w:rFonts w:cstheme="minorHAnsi"/>
              </w:rPr>
              <w:t>among</w:t>
            </w:r>
            <w:r w:rsidR="00DC7D4E" w:rsidRPr="00B33460">
              <w:rPr>
                <w:rFonts w:cstheme="minorHAnsi"/>
              </w:rPr>
              <w:t xml:space="preserve"> </w:t>
            </w:r>
            <w:r w:rsidRPr="00B33460">
              <w:rPr>
                <w:rFonts w:cstheme="minorHAnsi"/>
              </w:rPr>
              <w:t xml:space="preserve">older adults in low-middle income countries (LMICs). Here, we present the feasibility of telephone-based data collection </w:t>
            </w:r>
            <w:r w:rsidR="00B33460" w:rsidRPr="00B33460">
              <w:rPr>
                <w:rFonts w:cstheme="minorHAnsi"/>
              </w:rPr>
              <w:t xml:space="preserve">during </w:t>
            </w:r>
            <w:r w:rsidR="003C49B7">
              <w:rPr>
                <w:rFonts w:cstheme="minorHAnsi"/>
              </w:rPr>
              <w:t xml:space="preserve">the </w:t>
            </w:r>
            <w:r w:rsidR="00B33460" w:rsidRPr="00B33460">
              <w:rPr>
                <w:rFonts w:cstheme="minorHAnsi"/>
              </w:rPr>
              <w:t xml:space="preserve">COVID-19 pandemic </w:t>
            </w:r>
            <w:r w:rsidRPr="00B33460">
              <w:rPr>
                <w:rFonts w:cstheme="minorHAnsi"/>
              </w:rPr>
              <w:t xml:space="preserve">and </w:t>
            </w:r>
            <w:r w:rsidR="00D4145F">
              <w:rPr>
                <w:rFonts w:cstheme="minorHAnsi"/>
              </w:rPr>
              <w:t xml:space="preserve">the </w:t>
            </w:r>
            <w:r w:rsidRPr="00B33460">
              <w:rPr>
                <w:rFonts w:cstheme="minorHAnsi"/>
              </w:rPr>
              <w:t xml:space="preserve">acceptability of </w:t>
            </w:r>
            <w:r w:rsidR="000D17B4" w:rsidRPr="00B33460">
              <w:rPr>
                <w:rFonts w:cstheme="minorHAnsi"/>
              </w:rPr>
              <w:t xml:space="preserve">future electronic-based </w:t>
            </w:r>
            <w:r w:rsidRPr="00B33460">
              <w:rPr>
                <w:rFonts w:cstheme="minorHAnsi"/>
              </w:rPr>
              <w:t xml:space="preserve">intervention </w:t>
            </w:r>
            <w:r w:rsidR="003C49B7">
              <w:rPr>
                <w:rFonts w:cstheme="minorHAnsi"/>
              </w:rPr>
              <w:t>among</w:t>
            </w:r>
            <w:r w:rsidR="003C49B7" w:rsidRPr="00B33460">
              <w:rPr>
                <w:rFonts w:cstheme="minorHAnsi"/>
              </w:rPr>
              <w:t xml:space="preserve"> </w:t>
            </w:r>
            <w:r w:rsidRPr="00B33460">
              <w:rPr>
                <w:rFonts w:cstheme="minorHAnsi"/>
              </w:rPr>
              <w:t xml:space="preserve">Malaysian older adults </w:t>
            </w:r>
            <w:r w:rsidR="00B33460" w:rsidRPr="00B33460">
              <w:rPr>
                <w:rFonts w:cstheme="minorHAnsi"/>
              </w:rPr>
              <w:t>in</w:t>
            </w:r>
            <w:r w:rsidRPr="00B33460">
              <w:rPr>
                <w:rFonts w:cstheme="minorHAnsi"/>
              </w:rPr>
              <w:t xml:space="preserve"> </w:t>
            </w:r>
            <w:r w:rsidR="00D674DA" w:rsidRPr="00B33460">
              <w:rPr>
                <w:rFonts w:cstheme="minorHAnsi"/>
              </w:rPr>
              <w:t>DePEC</w:t>
            </w:r>
            <w:r w:rsidR="00D674DA">
              <w:rPr>
                <w:rFonts w:cstheme="minorHAnsi"/>
              </w:rPr>
              <w:t xml:space="preserve"> (Dementia Prevention and Enhanced Care)</w:t>
            </w:r>
            <w:r w:rsidR="00D674DA" w:rsidRPr="00B33460">
              <w:rPr>
                <w:rFonts w:cstheme="minorHAnsi"/>
              </w:rPr>
              <w:t>-Nutrition</w:t>
            </w:r>
            <w:r w:rsidRPr="00B33460">
              <w:rPr>
                <w:rFonts w:cstheme="minorHAnsi"/>
              </w:rPr>
              <w:t xml:space="preserve">. </w:t>
            </w:r>
          </w:p>
          <w:p w14:paraId="62A0CC25" w14:textId="77777777" w:rsidR="00E51869" w:rsidRPr="00B33460" w:rsidRDefault="00E51869" w:rsidP="00E51869">
            <w:pPr>
              <w:pStyle w:val="ListParagraph"/>
              <w:ind w:left="0"/>
              <w:jc w:val="both"/>
              <w:rPr>
                <w:rFonts w:cstheme="minorHAnsi"/>
              </w:rPr>
            </w:pPr>
          </w:p>
          <w:p w14:paraId="77E4387D" w14:textId="77777777" w:rsidR="00E51869" w:rsidRPr="00B33460" w:rsidRDefault="00E51869" w:rsidP="00E51869">
            <w:pPr>
              <w:pStyle w:val="ListParagraph"/>
              <w:ind w:left="0"/>
              <w:jc w:val="both"/>
              <w:rPr>
                <w:rFonts w:cstheme="minorHAnsi"/>
                <w:b/>
                <w:bCs/>
              </w:rPr>
            </w:pPr>
            <w:r w:rsidRPr="00B33460">
              <w:rPr>
                <w:rFonts w:cstheme="minorHAnsi"/>
                <w:b/>
                <w:bCs/>
              </w:rPr>
              <w:t xml:space="preserve">METHODS: </w:t>
            </w:r>
          </w:p>
          <w:p w14:paraId="4DC48913" w14:textId="47909812" w:rsidR="00E51869" w:rsidRPr="00B33460" w:rsidRDefault="00E51869" w:rsidP="00E51869">
            <w:pPr>
              <w:pStyle w:val="ListParagraph"/>
              <w:ind w:left="0"/>
              <w:jc w:val="both"/>
              <w:rPr>
                <w:rFonts w:cstheme="minorHAnsi"/>
              </w:rPr>
            </w:pPr>
            <w:r w:rsidRPr="00B33460">
              <w:rPr>
                <w:rFonts w:cstheme="minorHAnsi"/>
              </w:rPr>
              <w:t xml:space="preserve">DePEC-Nutrition is a randomized controlled trial </w:t>
            </w:r>
            <w:r w:rsidR="00D674DA">
              <w:rPr>
                <w:rFonts w:cstheme="minorHAnsi"/>
              </w:rPr>
              <w:t xml:space="preserve">that </w:t>
            </w:r>
            <w:r w:rsidR="00D4145F">
              <w:rPr>
                <w:rFonts w:cstheme="minorHAnsi"/>
              </w:rPr>
              <w:t>aimed</w:t>
            </w:r>
            <w:r w:rsidR="00D4145F" w:rsidRPr="00B33460">
              <w:rPr>
                <w:rFonts w:cstheme="minorHAnsi"/>
              </w:rPr>
              <w:t xml:space="preserve"> </w:t>
            </w:r>
            <w:r w:rsidRPr="00B33460">
              <w:rPr>
                <w:rFonts w:cstheme="minorHAnsi"/>
              </w:rPr>
              <w:t xml:space="preserve">to </w:t>
            </w:r>
            <w:r w:rsidR="00B33460" w:rsidRPr="00B33460">
              <w:rPr>
                <w:rFonts w:cstheme="minorHAnsi"/>
              </w:rPr>
              <w:t>determine</w:t>
            </w:r>
            <w:r w:rsidRPr="00B33460">
              <w:rPr>
                <w:rFonts w:cstheme="minorHAnsi"/>
              </w:rPr>
              <w:t xml:space="preserve"> the feasibility and acceptability of </w:t>
            </w:r>
            <w:r w:rsidR="00DC7D4E">
              <w:rPr>
                <w:rFonts w:cstheme="minorHAnsi"/>
              </w:rPr>
              <w:t xml:space="preserve">a </w:t>
            </w:r>
            <w:r w:rsidRPr="00B33460">
              <w:rPr>
                <w:rFonts w:cstheme="minorHAnsi"/>
              </w:rPr>
              <w:t>high-nitrate and reduce</w:t>
            </w:r>
            <w:r w:rsidR="003C49B7">
              <w:rPr>
                <w:rFonts w:cstheme="minorHAnsi"/>
              </w:rPr>
              <w:t>d</w:t>
            </w:r>
            <w:r w:rsidRPr="00B33460">
              <w:rPr>
                <w:rFonts w:cstheme="minorHAnsi"/>
              </w:rPr>
              <w:t xml:space="preserve"> salt intervention</w:t>
            </w:r>
            <w:r w:rsidR="003C49B7">
              <w:rPr>
                <w:rFonts w:cstheme="minorHAnsi"/>
              </w:rPr>
              <w:t>s</w:t>
            </w:r>
            <w:r w:rsidRPr="00B33460">
              <w:rPr>
                <w:rFonts w:cstheme="minorHAnsi"/>
              </w:rPr>
              <w:t xml:space="preserve"> among Malaysian older adults with elevated blood pressure. A total of 74 participants </w:t>
            </w:r>
            <w:r w:rsidR="00D4145F">
              <w:rPr>
                <w:rFonts w:cstheme="minorHAnsi"/>
              </w:rPr>
              <w:t xml:space="preserve">aged 50-75 years </w:t>
            </w:r>
            <w:r w:rsidRPr="00B33460">
              <w:rPr>
                <w:rFonts w:cstheme="minorHAnsi"/>
              </w:rPr>
              <w:t xml:space="preserve">were </w:t>
            </w:r>
            <w:r w:rsidR="00826F9F">
              <w:rPr>
                <w:rFonts w:cstheme="minorHAnsi"/>
              </w:rPr>
              <w:t>recruited</w:t>
            </w:r>
            <w:r w:rsidR="00826F9F" w:rsidRPr="00B33460">
              <w:rPr>
                <w:rFonts w:cstheme="minorHAnsi"/>
              </w:rPr>
              <w:t xml:space="preserve"> </w:t>
            </w:r>
            <w:r w:rsidRPr="00B33460">
              <w:rPr>
                <w:rFonts w:cstheme="minorHAnsi"/>
              </w:rPr>
              <w:t>in</w:t>
            </w:r>
            <w:r w:rsidR="003C49B7">
              <w:rPr>
                <w:rFonts w:cstheme="minorHAnsi"/>
              </w:rPr>
              <w:t>to</w:t>
            </w:r>
            <w:r w:rsidRPr="00B33460">
              <w:rPr>
                <w:rFonts w:cstheme="minorHAnsi"/>
              </w:rPr>
              <w:t xml:space="preserve"> this study. At interim 1, interim 2 and end of the study</w:t>
            </w:r>
            <w:r w:rsidR="00826F9F">
              <w:rPr>
                <w:rFonts w:cstheme="minorHAnsi"/>
              </w:rPr>
              <w:t xml:space="preserve"> </w:t>
            </w:r>
            <w:r w:rsidR="00D674DA">
              <w:rPr>
                <w:rFonts w:cstheme="minorHAnsi"/>
              </w:rPr>
              <w:t>follow-</w:t>
            </w:r>
            <w:r w:rsidR="00826F9F">
              <w:rPr>
                <w:rFonts w:cstheme="minorHAnsi"/>
              </w:rPr>
              <w:t>up,</w:t>
            </w:r>
            <w:r w:rsidRPr="00B33460">
              <w:rPr>
                <w:rFonts w:cstheme="minorHAnsi"/>
              </w:rPr>
              <w:t xml:space="preserve"> semi-structured </w:t>
            </w:r>
            <w:r w:rsidR="00D674DA" w:rsidRPr="00B33460">
              <w:rPr>
                <w:rFonts w:cstheme="minorHAnsi"/>
              </w:rPr>
              <w:t>interview</w:t>
            </w:r>
            <w:r w:rsidR="00D674DA">
              <w:rPr>
                <w:rFonts w:cstheme="minorHAnsi"/>
              </w:rPr>
              <w:t>s</w:t>
            </w:r>
            <w:r w:rsidR="00D674DA" w:rsidRPr="00B33460">
              <w:rPr>
                <w:rFonts w:cstheme="minorHAnsi"/>
              </w:rPr>
              <w:t xml:space="preserve"> </w:t>
            </w:r>
            <w:r w:rsidRPr="00B33460">
              <w:rPr>
                <w:rFonts w:cstheme="minorHAnsi"/>
              </w:rPr>
              <w:t xml:space="preserve">were conducted </w:t>
            </w:r>
            <w:r w:rsidR="003C49B7">
              <w:rPr>
                <w:rFonts w:cstheme="minorHAnsi"/>
              </w:rPr>
              <w:t>via</w:t>
            </w:r>
            <w:r w:rsidR="003C49B7" w:rsidRPr="00B33460">
              <w:rPr>
                <w:rFonts w:cstheme="minorHAnsi"/>
              </w:rPr>
              <w:t xml:space="preserve"> </w:t>
            </w:r>
            <w:r w:rsidRPr="00B33460">
              <w:rPr>
                <w:rFonts w:cstheme="minorHAnsi"/>
              </w:rPr>
              <w:t xml:space="preserve">telephone to assess participants’ acceptability </w:t>
            </w:r>
            <w:r w:rsidR="00B33460" w:rsidRPr="00B33460">
              <w:rPr>
                <w:rFonts w:cstheme="minorHAnsi"/>
              </w:rPr>
              <w:t xml:space="preserve">and experience </w:t>
            </w:r>
            <w:r w:rsidR="00826F9F">
              <w:rPr>
                <w:rFonts w:cstheme="minorHAnsi"/>
              </w:rPr>
              <w:t xml:space="preserve">of </w:t>
            </w:r>
            <w:r w:rsidR="00826F9F" w:rsidRPr="00B33460">
              <w:rPr>
                <w:rFonts w:cstheme="minorHAnsi"/>
              </w:rPr>
              <w:t>the</w:t>
            </w:r>
            <w:r w:rsidRPr="00B33460">
              <w:rPr>
                <w:rFonts w:cstheme="minorHAnsi"/>
              </w:rPr>
              <w:t xml:space="preserve"> intervention.</w:t>
            </w:r>
            <w:r w:rsidR="00B33460" w:rsidRPr="00B33460">
              <w:rPr>
                <w:rFonts w:cstheme="minorHAnsi"/>
              </w:rPr>
              <w:t xml:space="preserve"> </w:t>
            </w:r>
            <w:r w:rsidRPr="00B33460">
              <w:rPr>
                <w:rFonts w:cstheme="minorHAnsi"/>
              </w:rPr>
              <w:t>Number of attempts</w:t>
            </w:r>
            <w:r w:rsidR="00F84A77">
              <w:rPr>
                <w:rFonts w:cstheme="minorHAnsi"/>
              </w:rPr>
              <w:t xml:space="preserve"> </w:t>
            </w:r>
            <w:r w:rsidRPr="00B33460">
              <w:rPr>
                <w:rFonts w:cstheme="minorHAnsi"/>
              </w:rPr>
              <w:t xml:space="preserve">and completion were analysed from </w:t>
            </w:r>
            <w:r w:rsidR="00826F9F">
              <w:rPr>
                <w:rFonts w:cstheme="minorHAnsi"/>
              </w:rPr>
              <w:t>call</w:t>
            </w:r>
            <w:r w:rsidRPr="00B33460">
              <w:rPr>
                <w:rFonts w:cstheme="minorHAnsi"/>
              </w:rPr>
              <w:t xml:space="preserve"> logs. </w:t>
            </w:r>
          </w:p>
          <w:p w14:paraId="7BA4F259" w14:textId="77777777" w:rsidR="00625BF6" w:rsidRPr="00B33460" w:rsidRDefault="00625BF6" w:rsidP="00E51869">
            <w:pPr>
              <w:pStyle w:val="ListParagraph"/>
              <w:ind w:left="0"/>
              <w:jc w:val="both"/>
              <w:rPr>
                <w:rFonts w:cstheme="minorHAnsi"/>
              </w:rPr>
            </w:pPr>
          </w:p>
          <w:p w14:paraId="1007019D" w14:textId="77777777" w:rsidR="00E51869" w:rsidRPr="00B33460" w:rsidRDefault="00E51869" w:rsidP="00E51869">
            <w:pPr>
              <w:pStyle w:val="ListParagraph"/>
              <w:ind w:left="0"/>
              <w:jc w:val="both"/>
              <w:rPr>
                <w:rFonts w:cstheme="minorHAnsi"/>
                <w:b/>
                <w:bCs/>
              </w:rPr>
            </w:pPr>
            <w:r w:rsidRPr="00B33460">
              <w:rPr>
                <w:rFonts w:cstheme="minorHAnsi"/>
                <w:b/>
                <w:bCs/>
              </w:rPr>
              <w:t xml:space="preserve">RESULTS: </w:t>
            </w:r>
          </w:p>
          <w:p w14:paraId="21E33B09" w14:textId="01CDAD4C" w:rsidR="00E51869" w:rsidRPr="00B33460" w:rsidRDefault="003C49B7" w:rsidP="00E51869">
            <w:pPr>
              <w:pStyle w:val="ListParagraph"/>
              <w:ind w:left="0"/>
              <w:jc w:val="both"/>
              <w:rPr>
                <w:rFonts w:cstheme="minorHAnsi"/>
                <w:bCs/>
              </w:rPr>
            </w:pPr>
            <w:r>
              <w:rPr>
                <w:rFonts w:cstheme="minorHAnsi"/>
              </w:rPr>
              <w:t>The m</w:t>
            </w:r>
            <w:r w:rsidR="00A913D0">
              <w:rPr>
                <w:rFonts w:cstheme="minorHAnsi"/>
              </w:rPr>
              <w:t>ajority</w:t>
            </w:r>
            <w:r w:rsidR="00E51869" w:rsidRPr="00B33460">
              <w:rPr>
                <w:rFonts w:cstheme="minorHAnsi"/>
              </w:rPr>
              <w:t xml:space="preserve"> of participants answered the call</w:t>
            </w:r>
            <w:r w:rsidR="00113550">
              <w:rPr>
                <w:rFonts w:cstheme="minorHAnsi"/>
              </w:rPr>
              <w:t xml:space="preserve"> </w:t>
            </w:r>
            <w:r w:rsidR="00E51869" w:rsidRPr="00B33460">
              <w:rPr>
                <w:rFonts w:cstheme="minorHAnsi"/>
              </w:rPr>
              <w:t>at interim 1</w:t>
            </w:r>
            <w:r w:rsidR="00A913D0">
              <w:rPr>
                <w:rFonts w:cstheme="minorHAnsi"/>
              </w:rPr>
              <w:t xml:space="preserve">(94%), </w:t>
            </w:r>
            <w:r w:rsidR="00E51869" w:rsidRPr="00B33460">
              <w:rPr>
                <w:rFonts w:cstheme="minorHAnsi"/>
              </w:rPr>
              <w:t>interim 2</w:t>
            </w:r>
            <w:r w:rsidR="00A913D0">
              <w:rPr>
                <w:rFonts w:cstheme="minorHAnsi"/>
              </w:rPr>
              <w:t>(89%)</w:t>
            </w:r>
            <w:r w:rsidR="00EB1CC2">
              <w:rPr>
                <w:rFonts w:cstheme="minorHAnsi"/>
              </w:rPr>
              <w:t xml:space="preserve"> and </w:t>
            </w:r>
            <w:r w:rsidR="00E51869" w:rsidRPr="00B33460">
              <w:rPr>
                <w:rFonts w:cstheme="minorHAnsi"/>
              </w:rPr>
              <w:t>end study</w:t>
            </w:r>
            <w:r>
              <w:rPr>
                <w:rFonts w:cstheme="minorHAnsi"/>
              </w:rPr>
              <w:t xml:space="preserve"> </w:t>
            </w:r>
            <w:r w:rsidR="00A913D0">
              <w:rPr>
                <w:rFonts w:cstheme="minorHAnsi"/>
              </w:rPr>
              <w:t>(94%)</w:t>
            </w:r>
            <w:r w:rsidR="00E51869" w:rsidRPr="00B33460">
              <w:rPr>
                <w:rFonts w:cstheme="minorHAnsi"/>
              </w:rPr>
              <w:t>. About 80% of the participants who answered the telephone call completed the assessment</w:t>
            </w:r>
            <w:r w:rsidR="00826F9F">
              <w:rPr>
                <w:rFonts w:cstheme="minorHAnsi"/>
              </w:rPr>
              <w:t>s</w:t>
            </w:r>
            <w:r w:rsidR="00E51869" w:rsidRPr="00B33460">
              <w:rPr>
                <w:rFonts w:cstheme="minorHAnsi"/>
              </w:rPr>
              <w:t xml:space="preserve"> with half of th</w:t>
            </w:r>
            <w:r w:rsidR="00A913D0">
              <w:rPr>
                <w:rFonts w:cstheme="minorHAnsi"/>
              </w:rPr>
              <w:t>ose</w:t>
            </w:r>
            <w:r w:rsidR="00E51869" w:rsidRPr="00B33460">
              <w:rPr>
                <w:rFonts w:cstheme="minorHAnsi"/>
              </w:rPr>
              <w:t xml:space="preserve"> </w:t>
            </w:r>
            <w:r>
              <w:rPr>
                <w:rFonts w:cstheme="minorHAnsi"/>
              </w:rPr>
              <w:t xml:space="preserve">who </w:t>
            </w:r>
            <w:r w:rsidR="00A913D0">
              <w:rPr>
                <w:rFonts w:cstheme="minorHAnsi"/>
              </w:rPr>
              <w:lastRenderedPageBreak/>
              <w:t xml:space="preserve">completed the assessments, </w:t>
            </w:r>
            <w:r w:rsidR="00E51869" w:rsidRPr="00B33460">
              <w:rPr>
                <w:rFonts w:cstheme="minorHAnsi"/>
              </w:rPr>
              <w:t>complet</w:t>
            </w:r>
            <w:r>
              <w:rPr>
                <w:rFonts w:cstheme="minorHAnsi"/>
              </w:rPr>
              <w:t xml:space="preserve">ing </w:t>
            </w:r>
            <w:r w:rsidR="00E51869" w:rsidRPr="00B33460">
              <w:rPr>
                <w:rFonts w:cstheme="minorHAnsi"/>
              </w:rPr>
              <w:t>at the</w:t>
            </w:r>
            <w:r>
              <w:rPr>
                <w:rFonts w:cstheme="minorHAnsi"/>
              </w:rPr>
              <w:t>ir</w:t>
            </w:r>
            <w:r w:rsidR="00E51869" w:rsidRPr="00B33460">
              <w:rPr>
                <w:rFonts w:cstheme="minorHAnsi"/>
              </w:rPr>
              <w:t xml:space="preserve"> first attempt. </w:t>
            </w:r>
            <w:r w:rsidR="00113550">
              <w:rPr>
                <w:rFonts w:cstheme="minorHAnsi"/>
              </w:rPr>
              <w:t xml:space="preserve">The mean number of attempts to complete the assessment was 1.5. </w:t>
            </w:r>
            <w:r w:rsidR="00E51869" w:rsidRPr="00B33460">
              <w:rPr>
                <w:rFonts w:cstheme="minorHAnsi"/>
                <w:bCs/>
              </w:rPr>
              <w:t>About half of the participants (</w:t>
            </w:r>
            <w:r w:rsidR="001A3EB7">
              <w:rPr>
                <w:rFonts w:cstheme="minorHAnsi"/>
                <w:bCs/>
              </w:rPr>
              <w:t>48</w:t>
            </w:r>
            <w:r w:rsidR="00E51869" w:rsidRPr="00B33460">
              <w:rPr>
                <w:rFonts w:cstheme="minorHAnsi"/>
                <w:bCs/>
              </w:rPr>
              <w:t>%) were interested in future electronic-based dietary intervention</w:t>
            </w:r>
            <w:r w:rsidR="00FD0E8D">
              <w:rPr>
                <w:rFonts w:cstheme="minorHAnsi"/>
                <w:bCs/>
              </w:rPr>
              <w:t>s</w:t>
            </w:r>
            <w:r w:rsidR="001A3EB7">
              <w:rPr>
                <w:rFonts w:cstheme="minorHAnsi"/>
                <w:bCs/>
              </w:rPr>
              <w:t xml:space="preserve"> while</w:t>
            </w:r>
            <w:r>
              <w:rPr>
                <w:rFonts w:cstheme="minorHAnsi"/>
                <w:bCs/>
              </w:rPr>
              <w:t xml:space="preserve"> 39%</w:t>
            </w:r>
            <w:r w:rsidR="001A3EB7">
              <w:rPr>
                <w:rFonts w:cstheme="minorHAnsi"/>
                <w:bCs/>
              </w:rPr>
              <w:t xml:space="preserve"> </w:t>
            </w:r>
            <w:r>
              <w:rPr>
                <w:rFonts w:cstheme="minorHAnsi"/>
                <w:bCs/>
              </w:rPr>
              <w:t xml:space="preserve">had </w:t>
            </w:r>
            <w:r w:rsidR="00E51869" w:rsidRPr="00B33460">
              <w:rPr>
                <w:rFonts w:cstheme="minorHAnsi"/>
                <w:bCs/>
              </w:rPr>
              <w:t>concern</w:t>
            </w:r>
            <w:r>
              <w:rPr>
                <w:rFonts w:cstheme="minorHAnsi"/>
                <w:bCs/>
              </w:rPr>
              <w:t>s around</w:t>
            </w:r>
            <w:r w:rsidR="00E51869" w:rsidRPr="00B33460">
              <w:rPr>
                <w:rFonts w:cstheme="minorHAnsi"/>
                <w:bCs/>
              </w:rPr>
              <w:t xml:space="preserve"> the</w:t>
            </w:r>
            <w:r>
              <w:rPr>
                <w:rFonts w:cstheme="minorHAnsi"/>
                <w:bCs/>
              </w:rPr>
              <w:t>ir</w:t>
            </w:r>
            <w:r w:rsidR="00E51869" w:rsidRPr="00B33460">
              <w:rPr>
                <w:rFonts w:cstheme="minorHAnsi"/>
                <w:bCs/>
              </w:rPr>
              <w:t xml:space="preserve"> competency of using electronic devices. </w:t>
            </w:r>
          </w:p>
          <w:p w14:paraId="255C9719" w14:textId="77777777" w:rsidR="00E51869" w:rsidRPr="00B33460" w:rsidRDefault="00E51869" w:rsidP="00E51869">
            <w:pPr>
              <w:pStyle w:val="ListParagraph"/>
              <w:ind w:left="0"/>
              <w:jc w:val="both"/>
              <w:rPr>
                <w:rFonts w:cstheme="minorHAnsi"/>
                <w:bCs/>
              </w:rPr>
            </w:pPr>
          </w:p>
          <w:p w14:paraId="5A5E5486" w14:textId="77777777" w:rsidR="00E51869" w:rsidRPr="00B33460" w:rsidRDefault="00E51869" w:rsidP="00E51869">
            <w:pPr>
              <w:pStyle w:val="ListParagraph"/>
              <w:ind w:left="0"/>
              <w:jc w:val="both"/>
              <w:rPr>
                <w:rFonts w:cstheme="minorHAnsi"/>
                <w:b/>
              </w:rPr>
            </w:pPr>
            <w:r w:rsidRPr="00B33460">
              <w:rPr>
                <w:rFonts w:cstheme="minorHAnsi"/>
                <w:b/>
              </w:rPr>
              <w:t xml:space="preserve">DISCUSSION: </w:t>
            </w:r>
          </w:p>
          <w:p w14:paraId="6C1D50DA" w14:textId="6A09DDF5" w:rsidR="00E51869" w:rsidRPr="00B33460" w:rsidRDefault="003C49B7" w:rsidP="00E51869">
            <w:pPr>
              <w:pStyle w:val="ListParagraph"/>
              <w:ind w:left="0"/>
              <w:jc w:val="both"/>
              <w:rPr>
                <w:rFonts w:cstheme="minorHAnsi"/>
              </w:rPr>
            </w:pPr>
            <w:r>
              <w:rPr>
                <w:rFonts w:cstheme="minorHAnsi"/>
              </w:rPr>
              <w:t>These r</w:t>
            </w:r>
            <w:r w:rsidR="00E51869" w:rsidRPr="00B33460">
              <w:rPr>
                <w:rFonts w:cstheme="minorHAnsi"/>
              </w:rPr>
              <w:t xml:space="preserve">esults </w:t>
            </w:r>
            <w:r>
              <w:rPr>
                <w:rFonts w:cstheme="minorHAnsi"/>
              </w:rPr>
              <w:t>highlight</w:t>
            </w:r>
            <w:r w:rsidRPr="00B33460">
              <w:rPr>
                <w:rFonts w:cstheme="minorHAnsi"/>
              </w:rPr>
              <w:t xml:space="preserve"> </w:t>
            </w:r>
            <w:r w:rsidR="00E51869" w:rsidRPr="00B33460">
              <w:rPr>
                <w:rFonts w:cstheme="minorHAnsi"/>
              </w:rPr>
              <w:t xml:space="preserve">telephone-based data collection </w:t>
            </w:r>
            <w:r>
              <w:rPr>
                <w:rFonts w:cstheme="minorHAnsi"/>
              </w:rPr>
              <w:t xml:space="preserve">as </w:t>
            </w:r>
            <w:r w:rsidR="00E51869" w:rsidRPr="00B33460">
              <w:rPr>
                <w:rFonts w:cstheme="minorHAnsi"/>
              </w:rPr>
              <w:t xml:space="preserve">a feasible alternative to in-person data collection and can be considered as a viable alternative for quantitative investigations </w:t>
            </w:r>
            <w:r>
              <w:rPr>
                <w:rFonts w:cstheme="minorHAnsi"/>
              </w:rPr>
              <w:t>among</w:t>
            </w:r>
            <w:r w:rsidRPr="00B33460">
              <w:rPr>
                <w:rFonts w:cstheme="minorHAnsi"/>
              </w:rPr>
              <w:t xml:space="preserve"> </w:t>
            </w:r>
            <w:r w:rsidR="00B33460" w:rsidRPr="00B33460">
              <w:rPr>
                <w:rFonts w:cstheme="minorHAnsi"/>
              </w:rPr>
              <w:t xml:space="preserve">older adults </w:t>
            </w:r>
            <w:r w:rsidR="00E51869" w:rsidRPr="00B33460">
              <w:rPr>
                <w:rFonts w:cstheme="minorHAnsi"/>
              </w:rPr>
              <w:t xml:space="preserve">in LMICs like Malaysia. </w:t>
            </w:r>
            <w:r>
              <w:rPr>
                <w:rFonts w:cstheme="minorHAnsi"/>
              </w:rPr>
              <w:t>However, strategies are needed to</w:t>
            </w:r>
            <w:r w:rsidR="00E51869" w:rsidRPr="00B33460">
              <w:rPr>
                <w:rFonts w:cstheme="minorHAnsi"/>
              </w:rPr>
              <w:t xml:space="preserve"> address barriers to participation</w:t>
            </w:r>
            <w:r>
              <w:rPr>
                <w:rFonts w:cstheme="minorHAnsi"/>
              </w:rPr>
              <w:t xml:space="preserve"> in, and to support implementation of,</w:t>
            </w:r>
            <w:r w:rsidR="00E51869" w:rsidRPr="00B33460">
              <w:rPr>
                <w:rFonts w:cstheme="minorHAnsi"/>
              </w:rPr>
              <w:t xml:space="preserve"> </w:t>
            </w:r>
            <w:r>
              <w:rPr>
                <w:rFonts w:cstheme="minorHAnsi"/>
              </w:rPr>
              <w:t xml:space="preserve">an </w:t>
            </w:r>
            <w:r w:rsidR="00B33460" w:rsidRPr="00B33460">
              <w:rPr>
                <w:rFonts w:cstheme="minorHAnsi"/>
              </w:rPr>
              <w:t xml:space="preserve">electronic-based intervention </w:t>
            </w:r>
            <w:r w:rsidR="00EB1CC2">
              <w:rPr>
                <w:rFonts w:cstheme="minorHAnsi"/>
              </w:rPr>
              <w:t>among older adults</w:t>
            </w:r>
            <w:r>
              <w:rPr>
                <w:rFonts w:cstheme="minorHAnsi"/>
              </w:rPr>
              <w:t>.</w:t>
            </w:r>
          </w:p>
          <w:p w14:paraId="74D889F7" w14:textId="3231BFDE" w:rsidR="00E51869" w:rsidRPr="00B33460" w:rsidRDefault="00E51869" w:rsidP="00E51869">
            <w:pPr>
              <w:pStyle w:val="ListParagraph"/>
              <w:ind w:left="0"/>
              <w:jc w:val="both"/>
              <w:rPr>
                <w:rFonts w:cstheme="minorHAnsi"/>
              </w:rPr>
            </w:pPr>
          </w:p>
          <w:p w14:paraId="399A7A4C" w14:textId="738AE7A0" w:rsidR="00E51869" w:rsidRPr="00B33460" w:rsidRDefault="00E51869" w:rsidP="00E51869">
            <w:pPr>
              <w:pStyle w:val="ListParagraph"/>
              <w:ind w:left="0"/>
              <w:jc w:val="both"/>
              <w:rPr>
                <w:rFonts w:cstheme="minorHAnsi"/>
              </w:rPr>
            </w:pPr>
            <w:r w:rsidRPr="00B33460">
              <w:rPr>
                <w:rFonts w:cstheme="minorHAnsi"/>
              </w:rPr>
              <w:t xml:space="preserve">Words count: </w:t>
            </w:r>
            <w:r w:rsidR="00B3085C">
              <w:rPr>
                <w:rFonts w:cstheme="minorHAnsi"/>
              </w:rPr>
              <w:t>300</w:t>
            </w:r>
          </w:p>
          <w:p w14:paraId="792FA374" w14:textId="77777777" w:rsidR="00E51869" w:rsidRPr="00B33460" w:rsidRDefault="00E51869" w:rsidP="00304B8C">
            <w:pPr>
              <w:pStyle w:val="ListParagraph"/>
              <w:ind w:left="0"/>
              <w:jc w:val="both"/>
              <w:rPr>
                <w:rFonts w:cstheme="minorHAnsi"/>
              </w:rPr>
            </w:pPr>
          </w:p>
        </w:tc>
      </w:tr>
    </w:tbl>
    <w:p w14:paraId="3F0738B4" w14:textId="77777777" w:rsidR="00E51869" w:rsidRDefault="00E51869" w:rsidP="00304B8C">
      <w:pPr>
        <w:pStyle w:val="ListParagraph"/>
        <w:ind w:left="0"/>
        <w:jc w:val="both"/>
        <w:rPr>
          <w:b/>
          <w:bCs/>
        </w:rPr>
      </w:pPr>
    </w:p>
    <w:p w14:paraId="27B3EF0F" w14:textId="77777777" w:rsidR="00240282" w:rsidRPr="004C1975" w:rsidRDefault="00240282" w:rsidP="00625BF6">
      <w:pPr>
        <w:spacing w:after="0" w:line="240" w:lineRule="auto"/>
        <w:jc w:val="both"/>
        <w:rPr>
          <w:rFonts w:ascii="Calibri Light" w:eastAsia="Calibri" w:hAnsi="Calibri Light" w:cs="Calibri Light"/>
          <w:i/>
          <w:sz w:val="18"/>
          <w:lang w:val="en-GB" w:eastAsia="en-US"/>
        </w:rPr>
      </w:pPr>
      <w:r w:rsidRPr="004C1975">
        <w:rPr>
          <w:rFonts w:ascii="Calibri Light" w:eastAsia="Calibri" w:hAnsi="Calibri Light" w:cs="Calibri Light"/>
          <w:i/>
          <w:sz w:val="18"/>
          <w:lang w:val="en-GB" w:eastAsia="en-US"/>
        </w:rPr>
        <w:t>This research was funded by the National Institute for Health Research (NIHR) (</w:t>
      </w:r>
      <w:r w:rsidRPr="004C1975">
        <w:rPr>
          <w:rFonts w:ascii="Calibri Light" w:eastAsia="Calibri" w:hAnsi="Calibri Light" w:cs="Calibri Light"/>
          <w:bCs/>
          <w:i/>
          <w:sz w:val="18"/>
          <w:lang w:val="en-AU" w:eastAsia="en-US"/>
        </w:rPr>
        <w:t>16/137/62 - Dementia Prevention and Enhanced Care (DePEC), Newcastle University, United Kingdom),</w:t>
      </w:r>
      <w:r w:rsidRPr="004C1975">
        <w:rPr>
          <w:rFonts w:ascii="Calibri Light" w:eastAsia="Calibri" w:hAnsi="Calibri Light" w:cs="Calibri Light"/>
          <w:i/>
          <w:sz w:val="18"/>
          <w:lang w:val="en-GB" w:eastAsia="en-US"/>
        </w:rPr>
        <w:t xml:space="preserve"> using UK aid from the UK Government to support global health research. The views expressed in this publication are those of the author(s) and not necessarily those of the NIHR or the UK Department of Health and Social Care.</w:t>
      </w:r>
    </w:p>
    <w:p w14:paraId="5B966B67" w14:textId="77777777" w:rsidR="00304B8C" w:rsidRPr="00240282" w:rsidRDefault="00304B8C">
      <w:pPr>
        <w:rPr>
          <w:lang w:val="en-GB"/>
        </w:rPr>
      </w:pPr>
    </w:p>
    <w:sectPr w:rsidR="00304B8C" w:rsidRPr="002402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63D19"/>
    <w:multiLevelType w:val="hybridMultilevel"/>
    <w:tmpl w:val="DD708CA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wtDAyNAFCYwsDYyUdpeDU4uLM/DyQAsNaAInUMVksAAAA"/>
  </w:docVars>
  <w:rsids>
    <w:rsidRoot w:val="00304B8C"/>
    <w:rsid w:val="000158B6"/>
    <w:rsid w:val="000D17B4"/>
    <w:rsid w:val="000F1324"/>
    <w:rsid w:val="00113550"/>
    <w:rsid w:val="00167DD3"/>
    <w:rsid w:val="001727A7"/>
    <w:rsid w:val="0019000A"/>
    <w:rsid w:val="001913F9"/>
    <w:rsid w:val="001A3EB7"/>
    <w:rsid w:val="00240282"/>
    <w:rsid w:val="002650EF"/>
    <w:rsid w:val="002926A4"/>
    <w:rsid w:val="00304B8C"/>
    <w:rsid w:val="00361B42"/>
    <w:rsid w:val="003C2561"/>
    <w:rsid w:val="003C49B7"/>
    <w:rsid w:val="004462E9"/>
    <w:rsid w:val="00475DD6"/>
    <w:rsid w:val="004E28F1"/>
    <w:rsid w:val="00535EE4"/>
    <w:rsid w:val="005E1EA4"/>
    <w:rsid w:val="00607F8E"/>
    <w:rsid w:val="0061399A"/>
    <w:rsid w:val="00625BF6"/>
    <w:rsid w:val="00783C82"/>
    <w:rsid w:val="00787386"/>
    <w:rsid w:val="0082647E"/>
    <w:rsid w:val="00826F9F"/>
    <w:rsid w:val="00945351"/>
    <w:rsid w:val="00A913D0"/>
    <w:rsid w:val="00AB637E"/>
    <w:rsid w:val="00B3085C"/>
    <w:rsid w:val="00B33460"/>
    <w:rsid w:val="00B91F65"/>
    <w:rsid w:val="00BC3E65"/>
    <w:rsid w:val="00C04B17"/>
    <w:rsid w:val="00D4145F"/>
    <w:rsid w:val="00D674DA"/>
    <w:rsid w:val="00D756FF"/>
    <w:rsid w:val="00DC7D4E"/>
    <w:rsid w:val="00E50E89"/>
    <w:rsid w:val="00E51869"/>
    <w:rsid w:val="00E62449"/>
    <w:rsid w:val="00EB1CC2"/>
    <w:rsid w:val="00F14D8C"/>
    <w:rsid w:val="00F84A77"/>
    <w:rsid w:val="00F90B85"/>
    <w:rsid w:val="00FD0E8D"/>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422"/>
  <w15:chartTrackingRefBased/>
  <w15:docId w15:val="{E6D348BE-F434-4E13-B16C-5A7946AA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B8C"/>
    <w:pPr>
      <w:ind w:left="720"/>
      <w:contextualSpacing/>
    </w:pPr>
  </w:style>
  <w:style w:type="paragraph" w:styleId="BalloonText">
    <w:name w:val="Balloon Text"/>
    <w:basedOn w:val="Normal"/>
    <w:link w:val="BalloonTextChar"/>
    <w:uiPriority w:val="99"/>
    <w:semiHidden/>
    <w:unhideWhenUsed/>
    <w:rsid w:val="00265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0EF"/>
    <w:rPr>
      <w:rFonts w:ascii="Segoe UI" w:hAnsi="Segoe UI" w:cs="Segoe UI"/>
      <w:sz w:val="18"/>
      <w:szCs w:val="18"/>
    </w:rPr>
  </w:style>
  <w:style w:type="table" w:styleId="TableGrid">
    <w:name w:val="Table Grid"/>
    <w:basedOn w:val="TableNormal"/>
    <w:uiPriority w:val="39"/>
    <w:rsid w:val="00E51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7386"/>
    <w:rPr>
      <w:sz w:val="16"/>
      <w:szCs w:val="16"/>
    </w:rPr>
  </w:style>
  <w:style w:type="paragraph" w:styleId="CommentText">
    <w:name w:val="annotation text"/>
    <w:basedOn w:val="Normal"/>
    <w:link w:val="CommentTextChar"/>
    <w:uiPriority w:val="99"/>
    <w:semiHidden/>
    <w:unhideWhenUsed/>
    <w:rsid w:val="00787386"/>
    <w:pPr>
      <w:spacing w:line="240" w:lineRule="auto"/>
    </w:pPr>
    <w:rPr>
      <w:sz w:val="20"/>
      <w:szCs w:val="20"/>
    </w:rPr>
  </w:style>
  <w:style w:type="character" w:customStyle="1" w:styleId="CommentTextChar">
    <w:name w:val="Comment Text Char"/>
    <w:basedOn w:val="DefaultParagraphFont"/>
    <w:link w:val="CommentText"/>
    <w:uiPriority w:val="99"/>
    <w:semiHidden/>
    <w:rsid w:val="00787386"/>
    <w:rPr>
      <w:sz w:val="20"/>
      <w:szCs w:val="20"/>
    </w:rPr>
  </w:style>
  <w:style w:type="paragraph" w:styleId="CommentSubject">
    <w:name w:val="annotation subject"/>
    <w:basedOn w:val="CommentText"/>
    <w:next w:val="CommentText"/>
    <w:link w:val="CommentSubjectChar"/>
    <w:uiPriority w:val="99"/>
    <w:semiHidden/>
    <w:unhideWhenUsed/>
    <w:rsid w:val="00787386"/>
    <w:rPr>
      <w:b/>
      <w:bCs/>
    </w:rPr>
  </w:style>
  <w:style w:type="character" w:customStyle="1" w:styleId="CommentSubjectChar">
    <w:name w:val="Comment Subject Char"/>
    <w:basedOn w:val="CommentTextChar"/>
    <w:link w:val="CommentSubject"/>
    <w:uiPriority w:val="99"/>
    <w:semiHidden/>
    <w:rsid w:val="00787386"/>
    <w:rPr>
      <w:b/>
      <w:bCs/>
      <w:sz w:val="20"/>
      <w:szCs w:val="20"/>
    </w:rPr>
  </w:style>
  <w:style w:type="character" w:customStyle="1" w:styleId="gmaildefault">
    <w:name w:val="gmail_default"/>
    <w:basedOn w:val="DefaultParagraphFont"/>
    <w:rsid w:val="0078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92365">
      <w:bodyDiv w:val="1"/>
      <w:marLeft w:val="0"/>
      <w:marRight w:val="0"/>
      <w:marTop w:val="0"/>
      <w:marBottom w:val="0"/>
      <w:divBdr>
        <w:top w:val="none" w:sz="0" w:space="0" w:color="auto"/>
        <w:left w:val="none" w:sz="0" w:space="0" w:color="auto"/>
        <w:bottom w:val="none" w:sz="0" w:space="0" w:color="auto"/>
        <w:right w:val="none" w:sz="0" w:space="0" w:color="auto"/>
      </w:divBdr>
      <w:divsChild>
        <w:div w:id="1095326550">
          <w:marLeft w:val="0"/>
          <w:marRight w:val="0"/>
          <w:marTop w:val="0"/>
          <w:marBottom w:val="0"/>
          <w:divBdr>
            <w:top w:val="none" w:sz="0" w:space="0" w:color="auto"/>
            <w:left w:val="none" w:sz="0" w:space="0" w:color="auto"/>
            <w:bottom w:val="none" w:sz="0" w:space="0" w:color="auto"/>
            <w:right w:val="none" w:sz="0" w:space="0" w:color="auto"/>
          </w:divBdr>
          <w:divsChild>
            <w:div w:id="1240554371">
              <w:marLeft w:val="0"/>
              <w:marRight w:val="0"/>
              <w:marTop w:val="0"/>
              <w:marBottom w:val="0"/>
              <w:divBdr>
                <w:top w:val="none" w:sz="0" w:space="0" w:color="auto"/>
                <w:left w:val="none" w:sz="0" w:space="0" w:color="auto"/>
                <w:bottom w:val="none" w:sz="0" w:space="0" w:color="auto"/>
                <w:right w:val="none" w:sz="0" w:space="0" w:color="auto"/>
              </w:divBdr>
            </w:div>
            <w:div w:id="1578247909">
              <w:marLeft w:val="0"/>
              <w:marRight w:val="0"/>
              <w:marTop w:val="0"/>
              <w:marBottom w:val="0"/>
              <w:divBdr>
                <w:top w:val="none" w:sz="0" w:space="0" w:color="auto"/>
                <w:left w:val="none" w:sz="0" w:space="0" w:color="auto"/>
                <w:bottom w:val="none" w:sz="0" w:space="0" w:color="auto"/>
                <w:right w:val="none" w:sz="0" w:space="0" w:color="auto"/>
              </w:divBdr>
            </w:div>
          </w:divsChild>
        </w:div>
        <w:div w:id="1432438015">
          <w:marLeft w:val="0"/>
          <w:marRight w:val="0"/>
          <w:marTop w:val="0"/>
          <w:marBottom w:val="0"/>
          <w:divBdr>
            <w:top w:val="none" w:sz="0" w:space="0" w:color="auto"/>
            <w:left w:val="none" w:sz="0" w:space="0" w:color="auto"/>
            <w:bottom w:val="none" w:sz="0" w:space="0" w:color="auto"/>
            <w:right w:val="none" w:sz="0" w:space="0" w:color="auto"/>
          </w:divBdr>
          <w:divsChild>
            <w:div w:id="2130319524">
              <w:marLeft w:val="0"/>
              <w:marRight w:val="0"/>
              <w:marTop w:val="0"/>
              <w:marBottom w:val="0"/>
              <w:divBdr>
                <w:top w:val="none" w:sz="0" w:space="0" w:color="auto"/>
                <w:left w:val="none" w:sz="0" w:space="0" w:color="auto"/>
                <w:bottom w:val="none" w:sz="0" w:space="0" w:color="auto"/>
                <w:right w:val="none" w:sz="0" w:space="0" w:color="auto"/>
              </w:divBdr>
              <w:divsChild>
                <w:div w:id="772435462">
                  <w:marLeft w:val="0"/>
                  <w:marRight w:val="0"/>
                  <w:marTop w:val="0"/>
                  <w:marBottom w:val="0"/>
                  <w:divBdr>
                    <w:top w:val="none" w:sz="0" w:space="0" w:color="auto"/>
                    <w:left w:val="none" w:sz="0" w:space="0" w:color="auto"/>
                    <w:bottom w:val="none" w:sz="0" w:space="0" w:color="auto"/>
                    <w:right w:val="none" w:sz="0" w:space="0" w:color="auto"/>
                  </w:divBdr>
                  <w:divsChild>
                    <w:div w:id="562955752">
                      <w:marLeft w:val="0"/>
                      <w:marRight w:val="0"/>
                      <w:marTop w:val="0"/>
                      <w:marBottom w:val="0"/>
                      <w:divBdr>
                        <w:top w:val="none" w:sz="0" w:space="0" w:color="auto"/>
                        <w:left w:val="none" w:sz="0" w:space="0" w:color="auto"/>
                        <w:bottom w:val="none" w:sz="0" w:space="0" w:color="auto"/>
                        <w:right w:val="none" w:sz="0" w:space="0" w:color="auto"/>
                      </w:divBdr>
                      <w:divsChild>
                        <w:div w:id="1810244715">
                          <w:marLeft w:val="0"/>
                          <w:marRight w:val="0"/>
                          <w:marTop w:val="0"/>
                          <w:marBottom w:val="0"/>
                          <w:divBdr>
                            <w:top w:val="none" w:sz="0" w:space="0" w:color="auto"/>
                            <w:left w:val="none" w:sz="0" w:space="0" w:color="auto"/>
                            <w:bottom w:val="none" w:sz="0" w:space="0" w:color="auto"/>
                            <w:right w:val="none" w:sz="0" w:space="0" w:color="auto"/>
                          </w:divBdr>
                          <w:divsChild>
                            <w:div w:id="807209140">
                              <w:marLeft w:val="0"/>
                              <w:marRight w:val="0"/>
                              <w:marTop w:val="0"/>
                              <w:marBottom w:val="0"/>
                              <w:divBdr>
                                <w:top w:val="none" w:sz="0" w:space="0" w:color="auto"/>
                                <w:left w:val="none" w:sz="0" w:space="0" w:color="auto"/>
                                <w:bottom w:val="none" w:sz="0" w:space="0" w:color="auto"/>
                                <w:right w:val="none" w:sz="0" w:space="0" w:color="auto"/>
                              </w:divBdr>
                              <w:divsChild>
                                <w:div w:id="504710650">
                                  <w:marLeft w:val="0"/>
                                  <w:marRight w:val="0"/>
                                  <w:marTop w:val="0"/>
                                  <w:marBottom w:val="0"/>
                                  <w:divBdr>
                                    <w:top w:val="none" w:sz="0" w:space="0" w:color="auto"/>
                                    <w:left w:val="none" w:sz="0" w:space="0" w:color="auto"/>
                                    <w:bottom w:val="none" w:sz="0" w:space="0" w:color="auto"/>
                                    <w:right w:val="none" w:sz="0" w:space="0" w:color="auto"/>
                                  </w:divBdr>
                                  <w:divsChild>
                                    <w:div w:id="2026319002">
                                      <w:marLeft w:val="0"/>
                                      <w:marRight w:val="0"/>
                                      <w:marTop w:val="0"/>
                                      <w:marBottom w:val="0"/>
                                      <w:divBdr>
                                        <w:top w:val="none" w:sz="0" w:space="0" w:color="auto"/>
                                        <w:left w:val="none" w:sz="0" w:space="0" w:color="auto"/>
                                        <w:bottom w:val="none" w:sz="0" w:space="0" w:color="auto"/>
                                        <w:right w:val="none" w:sz="0" w:space="0" w:color="auto"/>
                                      </w:divBdr>
                                      <w:divsChild>
                                        <w:div w:id="1775321826">
                                          <w:marLeft w:val="0"/>
                                          <w:marRight w:val="0"/>
                                          <w:marTop w:val="0"/>
                                          <w:marBottom w:val="0"/>
                                          <w:divBdr>
                                            <w:top w:val="none" w:sz="0" w:space="0" w:color="auto"/>
                                            <w:left w:val="none" w:sz="0" w:space="0" w:color="auto"/>
                                            <w:bottom w:val="none" w:sz="0" w:space="0" w:color="auto"/>
                                            <w:right w:val="none" w:sz="0" w:space="0" w:color="auto"/>
                                          </w:divBdr>
                                          <w:divsChild>
                                            <w:div w:id="707527623">
                                              <w:marLeft w:val="0"/>
                                              <w:marRight w:val="0"/>
                                              <w:marTop w:val="0"/>
                                              <w:marBottom w:val="0"/>
                                              <w:divBdr>
                                                <w:top w:val="none" w:sz="0" w:space="0" w:color="auto"/>
                                                <w:left w:val="none" w:sz="0" w:space="0" w:color="auto"/>
                                                <w:bottom w:val="none" w:sz="0" w:space="0" w:color="auto"/>
                                                <w:right w:val="none" w:sz="0" w:space="0" w:color="auto"/>
                                              </w:divBdr>
                                              <w:divsChild>
                                                <w:div w:id="373778907">
                                                  <w:marLeft w:val="0"/>
                                                  <w:marRight w:val="0"/>
                                                  <w:marTop w:val="0"/>
                                                  <w:marBottom w:val="0"/>
                                                  <w:divBdr>
                                                    <w:top w:val="none" w:sz="0" w:space="0" w:color="auto"/>
                                                    <w:left w:val="none" w:sz="0" w:space="0" w:color="auto"/>
                                                    <w:bottom w:val="none" w:sz="0" w:space="0" w:color="auto"/>
                                                    <w:right w:val="none" w:sz="0" w:space="0" w:color="auto"/>
                                                  </w:divBdr>
                                                </w:div>
                                                <w:div w:id="567961893">
                                                  <w:marLeft w:val="0"/>
                                                  <w:marRight w:val="0"/>
                                                  <w:marTop w:val="0"/>
                                                  <w:marBottom w:val="0"/>
                                                  <w:divBdr>
                                                    <w:top w:val="none" w:sz="0" w:space="0" w:color="auto"/>
                                                    <w:left w:val="none" w:sz="0" w:space="0" w:color="auto"/>
                                                    <w:bottom w:val="none" w:sz="0" w:space="0" w:color="auto"/>
                                                    <w:right w:val="none" w:sz="0" w:space="0" w:color="auto"/>
                                                  </w:divBdr>
                                                </w:div>
                                                <w:div w:id="1648900100">
                                                  <w:marLeft w:val="0"/>
                                                  <w:marRight w:val="0"/>
                                                  <w:marTop w:val="0"/>
                                                  <w:marBottom w:val="0"/>
                                                  <w:divBdr>
                                                    <w:top w:val="none" w:sz="0" w:space="0" w:color="auto"/>
                                                    <w:left w:val="none" w:sz="0" w:space="0" w:color="auto"/>
                                                    <w:bottom w:val="none" w:sz="0" w:space="0" w:color="auto"/>
                                                    <w:right w:val="none" w:sz="0" w:space="0" w:color="auto"/>
                                                  </w:divBdr>
                                                </w:div>
                                                <w:div w:id="330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649F5D126CA4CB689DA8109727F5B" ma:contentTypeVersion="14" ma:contentTypeDescription="Create a new document." ma:contentTypeScope="" ma:versionID="3b5db6f2a66ea0e8e35bb89117a644bd">
  <xsd:schema xmlns:xsd="http://www.w3.org/2001/XMLSchema" xmlns:xs="http://www.w3.org/2001/XMLSchema" xmlns:p="http://schemas.microsoft.com/office/2006/metadata/properties" xmlns:ns3="5bcec560-6a41-44bb-ad85-5d22d6f060c2" xmlns:ns4="107945d5-e777-467d-a40f-5068df84a43a" targetNamespace="http://schemas.microsoft.com/office/2006/metadata/properties" ma:root="true" ma:fieldsID="7c56714af62bceb096fd536e57e1e632" ns3:_="" ns4:_="">
    <xsd:import namespace="5bcec560-6a41-44bb-ad85-5d22d6f060c2"/>
    <xsd:import namespace="107945d5-e777-467d-a40f-5068df84a4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ec560-6a41-44bb-ad85-5d22d6f0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945d5-e777-467d-a40f-5068df84a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BF295-68EB-4B53-B6D4-44A7C63FF08B}">
  <ds:schemaRefs>
    <ds:schemaRef ds:uri="http://schemas.openxmlformats.org/package/2006/metadata/core-properties"/>
    <ds:schemaRef ds:uri="http://purl.org/dc/dcmitype/"/>
    <ds:schemaRef ds:uri="107945d5-e777-467d-a40f-5068df84a43a"/>
    <ds:schemaRef ds:uri="http://schemas.microsoft.com/office/infopath/2007/PartnerControls"/>
    <ds:schemaRef ds:uri="http://purl.org/dc/elements/1.1/"/>
    <ds:schemaRef ds:uri="http://schemas.microsoft.com/office/2006/documentManagement/types"/>
    <ds:schemaRef ds:uri="5bcec560-6a41-44bb-ad85-5d22d6f060c2"/>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9D8866-D9A7-41FB-9ADC-D9CEDF00AAAB}">
  <ds:schemaRefs>
    <ds:schemaRef ds:uri="http://schemas.microsoft.com/sharepoint/v3/contenttype/forms"/>
  </ds:schemaRefs>
</ds:datastoreItem>
</file>

<file path=customXml/itemProps3.xml><?xml version="1.0" encoding="utf-8"?>
<ds:datastoreItem xmlns:ds="http://schemas.openxmlformats.org/officeDocument/2006/customXml" ds:itemID="{C76643B8-F746-49B4-93D7-A604C534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ec560-6a41-44bb-ad85-5d22d6f060c2"/>
    <ds:schemaRef ds:uri="107945d5-e777-467d-a40f-5068df84a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siew siew</dc:creator>
  <cp:keywords/>
  <dc:description/>
  <cp:lastModifiedBy>Terry Lisle</cp:lastModifiedBy>
  <cp:revision>2</cp:revision>
  <dcterms:created xsi:type="dcterms:W3CDTF">2021-07-16T08:57:00Z</dcterms:created>
  <dcterms:modified xsi:type="dcterms:W3CDTF">2021-07-16T08:57:00Z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0x010100351649F5D126CA4CB689DA8109727F5B</vt:lpwstr>
  </property>
</Properties>
</file>